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DCSO/591/2018 vom 8. November 2018</w:t>
      </w:r>
    </w:p>
    <w:p>
      <w:r>
        <w:t>GE Cour de justice, 2018-11-08, FR</w:t>
      </w:r>
    </w:p>
    <w:p>
      <w:r>
        <w:rPr>
          <w:b/>
        </w:rPr>
        <w:t xml:space="preserve">Quelle: </w:t>
      </w:r>
      <w:r>
        <w:t>https://mcp.opencaselaw.ch/entscheid/ge_gerichte_DCSO_591_2018</w:t>
      </w:r>
    </w:p>
    <w:p>
      <w:r>
        <w:t>FR: GE_GERICHTE DCSO/591/2018 du 8 novembre 2018</w:t>
      </w:r>
    </w:p>
    <w:p>
      <w:r>
        <w:t>IT: GE_GERICHTE DCSO/591/2018 del 8 novembre 2018</w:t>
      </w:r>
    </w:p>
    <w:p>
      <w:pPr>
        <w:pStyle w:val="Heading2"/>
      </w:pPr>
      <w:r>
        <w:t>Regeste</w:t>
      </w:r>
    </w:p>
    <w:p>
      <w:r>
        <w:t>Résumé: Autorité de la chose jugée Attitude procédurale contraire à la bonne foi nullité mesure de l'OP.</w:t>
      </w:r>
    </w:p>
    <w:p>
      <w:pPr>
        <w:pStyle w:val="Heading2"/>
      </w:pPr>
      <w:r>
        <w:t>Erwägungen</w:t>
      </w:r>
    </w:p>
    <w:p>
      <w:r>
        <w:rPr>
          <w:b/>
        </w:rPr>
        <w:t>E. 1.1</w:t>
      </w:r>
    </w:p>
    <w:p>
      <w:r>
        <w:t>La Chambre de surveillance est compétente pour statuer sur les plaintes formées en application de la LP (art. 13 al. 1 LP; 6 al. 1 et 3 et 7 al. 1 LaLP; 125 et 126 al. 1 let. a et al. 2 let. c LOJ) contre des mesures de l'Office non attaquables par la voie judiciaire (art. 17 al. 1 LP). La plainte doit être déposée dans les dix jours de celui où le plaignant a eu connaissance de la mesure (art. 17 al. 2 LP). La qualité pour porter plainte selon l'art. 17 LP – condition de recevabilité devant être examinée d'office (GILLIERON, Commentaire LP, n. 140 ad art. 17 LP) – est reconnue à toute personne lésée ou exposée à l'être dans ses intérêts juridiquement protégés, ou à tout le moins atteinte dans ses intérêts de fait, par une mesure ou une omission d'un organe de la poursuite (ATF 138 III 219 consid. 2.3; 129 III 595 consid. 3, JT 2004 II 96; 120 III 42 consid. 3). Le plaignant doit dans tous les cas poursuivre un but actuel et concret; il doit être matériellement lésé par les effets de la décision attaquée et avoir un intérêt digne de protection à sa modification ou à son annulation (ATF 138 III 219 consid. 2.3; 120 II 5 consid. 2a, JT 1995 I 189). Ainsi, la plainte sera irrecevable si la mesure critiquée est irrévocable, lors même qu'une cause de nullité est alléguée (ATF 99 III 58 consid. 2, JT 1974 II 71 et les arrêts cités; GILLIERON, op. cit., n. 156 ad art. 17 LP). La plainte de l'art. 17 LP sert à corriger un vice dans la procédure d'exécution forcée. Lorsque, par cette voie, le plaignant entend seulement faire constater l'acte illicite de l'office en vue d'obtenir la réparation de son dommage dans un procès en responsabilité contre le canton, sa plainte est irrecevable (ATF 138 III 265 consid. 3.2 et les références; 118 III 1 consid. 2b).</w:t>
      </w:r>
    </w:p>
    <w:p>
      <w:r>
        <w:rPr>
          <w:b/>
        </w:rPr>
        <w:t>E. 1.2</w:t>
      </w:r>
    </w:p>
    <w:p>
      <w:r>
        <w:t>Selon l'art. 22 LP, l'autorité de surveillance peut, dans le délai de plainte ou même hors délai, déclarer nulle une mesure de l'office si celle-ci est contraire à des dispositions édictées dans l'intérêt public ou dans l'intérêt de personnes qui ne sont pas parties à la procédure. Une décision n'est nulle que si le vice qui l'affecte est particulièrement grave, s'il est manifeste ou, pour le moins, facilement reconnaissable et si, de surcroît, la sécurité du droit n'est pas sérieusement mise en danger par l'admission de la nullité (ATF 136 III 571 consid. 6.2 et les références; arrêt 5A_312/2012 du 18 juillet 2012 consid. 4.2.1). Selon les circonstances, en l'absence d'intérêts concrets dûment établis commandant d'admettre la nullité, la mesure contestée ne saurait être déclarée nulle selon l'art. 22 LP. L'attitude du débiteur poursuivi consistant à laisser se continuer une procédure entachée d'une irrégularité pour ne se prévaloir de celle-ci qu'après coup seulement, suivant l'issue de ladite procédure, est contraire aux règles de la bonne foi et ne mérite aucune protection (arrêt du Tribunal fédéral 7B.158/2005 du 11 novembre 2005 consid. 4).</w:t>
      </w:r>
    </w:p>
    <w:p>
      <w:r>
        <w:t>- 9/12 -</w:t>
      </w:r>
    </w:p>
    <w:p>
      <w:r>
        <w:t>A/1730/2018-CS</w:t>
      </w:r>
    </w:p>
    <w:p>
      <w:r>
        <w:rPr>
          <w:b/>
        </w:rPr>
        <w:t>E. 1.3</w:t>
      </w:r>
    </w:p>
    <w:p>
      <w:r>
        <w:t>L'autorité de la chose jugée est un principe général permettant de s'opposer à ce qu'un jugement soit remis en discussion par les mêmes parties sur le même objet (HOHL, Procédure civile, Tome I, 2ème éd. 2016, n. 2323 ss). Il s'agit d'un principe de droit matériel, et non de procédure, pour toutes les prétentions de droit privé fédéral. L'identité entre la prétention tranchée dans la précédente décision et la prétention réclamée par la nouvelle demande, qui fonde l'exception de l'autorité de la chose jugée, ne doit pas s'entendre d'un point de vue grammatical, mais matériel. L'objet de la nouvelle demande est délimité par les conclusions et par le complexe de faits invoqué à l'appui de celles-ci. La cause juridique n'est pas déterminante, le juge appliquant le droit d'office (arrêt du Tribunal fédéral 4A_66/2016 du 22 août 2016 consid. 4.1.1 et les références citées). En vertu du principe "res judicata pro veritate habetur", une décision cantonale entrée en force ne peut être réexaminée ("ne bis in idem"), si ce n'est dans le cadre étroit de la procédure de révision (ATF 127 III 496 consid. 3a). En droit de la poursuite et des faillites, l'autorité de la chose jugée ne vaut que pour la procédure d'exécution forcée en cause et pour autant que l'état de fait reste le même (arrêt 5A_35/2007 du 17 août 2007 consid. 2.1).</w:t>
      </w:r>
    </w:p>
    <w:p>
      <w:r>
        <w:rPr>
          <w:b/>
        </w:rPr>
        <w:t>E. 1.4</w:t>
      </w:r>
    </w:p>
    <w:p>
      <w:r>
        <w:t>La Chambre de céans, fonctionnant en tant qu'autorité cantonale de surveillance (art. 126 al. 1 let. a et al. 2 let. c LOJ; 6 al. 3 LaLP), applique la procédure administrative genevoise (LPA; art. 20a al. 4 LP; 9 al. 4 LaLP). La voie de la révision est prévue à l'art. 80 LPA. Selon cette disposition, il y a lieu à révision lorsque, dans une affaire réglée par une décision définitive, il apparaît : a) qu'un crime ou un délit, établi par une procédure pénale ou d'une autre manière, a influencé la décision; b) que des faits ou des moyens de preuve nouveaux et importants existent, que le recourant ne pouvait connaître ou invoquer dans la procédure précédente; c) que, par inadvertance, la décision ne tient pas compte de faits invoqués et établis par pièce; d) que la juridiction n'a pas statué sur certaines conclusions des parties de manière à commettre un déni de justice formel; e) que la juridiction qui a statué n'était pas composée comme la loi l'ordonne ou que les dispositions sur la récusation ont été violées. Selon l'art. 81 LPA, la demande de révision doit être adressée par écrit à la juridiction qui a rendu la décision dans les trois mois dès la découverte du motif de révision (al. 1) et, au tard, dans les dix ans à compter de la notification de la décision (al. 2). La demande doit, en particulier, indiquer le motif de révision et contenir les conclusions du requérant pour le cas où la révision serait admise et une nouvelle décision prise (al. 3).</w:t>
      </w:r>
    </w:p>
    <w:p>
      <w:r>
        <w:rPr>
          <w:b/>
        </w:rPr>
        <w:t>E. 2</w:t>
      </w:r>
    </w:p>
    <w:p>
      <w:r>
        <w:t>En l'espèce, la plaignante forme une nouvelle action en constatation de la nullité de la vente aux enchères du 3 octobre 2006, dans le cadre de la poursuite n° 11______, en formulant les mêmes conclusions et en</w:t>
      </w:r>
    </w:p>
    <w:p>
      <w:r>
        <w:t>- 10/12 -</w:t>
      </w:r>
    </w:p>
    <w:p>
      <w:r>
        <w:t>A/1730/2018-CS invoquant exactement le même complexe de fait que celui soumis à la Commission de surveillance dans les causes A/12______/2007, A/13______/2007, A/17______/2009 et A/16______/2009, auxquelles la plaignante a participé activement. Ainsi, les décisions DCSO/130/07, DCSO/530/2007 et DCSO/137/10, qui lui ont toutes été notifiées, exposent que la parcelle n° 5______ – grevée d'une cédule hypothécaire en premier rang de 85'000 fr. – a été adjugée pour le prix de 175'000 fr. à F______, celui-ci ayant obtenu l'autorisation de l'acquérir par décision de la Commission foncière agricole du 17 octobre 2006, laquelle a ensuite fixé la charge maximale de la parcelle à 22'491 fr. Dans sa décision DCSO/137/10, la Commission a expressément relevé que les plaignants avaient invoqué, entre autres griefs, un dépassement de la charge maximale ayant contribué à la vente forcée du 3 octobre 2006; dans les causes A/15______/2009 et A/16______/2009, l'Office a également précisé, dans ses rapports des 8 juin et 21 août 2009, que la cédule hypothécaire de 85'000 fr. avait été réduite à 22'491 fr. pour respecter la charge maximale fixée par la Commission foncière agricole dans sa décision du 5 décembre 2006; la cédule, dûment modifiée, avait ensuite été remise à l'adjudicataire, une fois celui-ci inscrit comme propriétaire de la parcelle au Registre foncier. Par ailleurs, la plaignante, à l'instar de son frère et de son père, respectivement de l'hoirie de ce dernier (dont la plaignante fait partie), a déjà soulevé la problématique du dépassement de la charge maximale – en soulignant que la cédule de 85'000 fr. était quatre fois supérieure à cette charge maximale, tandis qu'aucune décision n'avait été rendue à cet égard par la Commission foncière agricole avant la vente forcée du 3 octobre 2006 –, en invoquant la violation des articles topiques de la LDFR : une première fois dans le complément de plainte du 8 octobre 2007 (A/14______/2007), une deuxième fois dans la dénonciation du 12 mai 2009 (A/15______/2009) et une troisième fois dans la plainte du 24 juillet 2009 (A/16______/2009), laquelle a été rédigée par un avocat. Il ressort de ce qui précède qu'en déposant sa nouvelle plainte, la plaignante feint d'ignorer que ce grief a été soumis à l'examen de l'autorité de surveillance et que celle-ci a considéré – il y a déjà plus de huit ans – qu'il se s'agissait pas d'une irrégularité susceptible d'entraîner la nullité de la vente aux enchères du 3 octobre 2006. Pour paraphraser les termes de la décision DCSO/137/2010 : "Ainsi, ces faits ayant été soulevés dans [d'autres plaintes] et portés à la connaissance de la Commission de céans, celle-ci aurait relevé d'office ces faits s'ils avaient constitué un motif de nullité au sens de l'art. 22 al. 1 LP, peu importe les griefs invoqués à cette occasion et peu importe sous quel angle la Commission a examiné ce dossier. Ce qui est déterminant est le fait de constater que la Commission de céans connaissait l'existence [de cette problématique], et a estimé au vu du</w:t>
      </w:r>
    </w:p>
    <w:p>
      <w:r>
        <w:t>- 11/12 -</w:t>
      </w:r>
    </w:p>
    <w:p>
      <w:r>
        <w:t>A/1730/2018-CS contexte de fait, qu'il n'y avait aucun motif de nullité entachant la vente aux enchères du 3 octobre 2006". Partant, la plaignante doit se voir opposer le principe "res judicata pro veritate habetur", sa plainte s'avérant manifestement irrecevable de ce chef. Il serait de surcroît contraire à la sécurité du droit d'admettre la nullité de cette vente, douze ans après sa survenance, alors que la plaignante n'invoque pas le moindre fait nouveau ou motif de révision (sa plainte pénale du 4 juin 2016 n'a – à juste titre – pas abouti) qui justifierait de revenir sur un grief qu'elle a soulevé trois fois déjà et dont elle a renoncé à se prévaloir faute d'avoir recouru au Tribunal fédéral contre les décisions DCSO/130/2007, DCSO/530/07et DCSO/137/10. En se prévalant de ce même grief, respectivement onze et huit ans plus tard, la plaignante adopte une attitude contraire à la bonne foi qui ne mérite aucune protection.</w:t>
      </w:r>
    </w:p>
    <w:p>
      <w:r>
        <w:rPr>
          <w:b/>
        </w:rPr>
        <w:t>E. 3.1</w:t>
      </w:r>
    </w:p>
    <w:p>
      <w:r>
        <w:t>La procédure de plainte est gratuite (art. 20 al. 2 ch. 5 LP; 61 al. 2 let. a OELP) et il ne peut être alloué aucun dépens (art. 62 al. 2 OELP). Le principe de la gratuité de la procédure de plainte trouve cependant une exception à l'art. 20a al. 2 ch. 5 LP, qui prévoit que la partie ou son représentant qui use de procédés téméraires ou de mauvaise foi peut être condamné à une amende de 1'500 fr. au plus ainsi qu'au paiement des émoluments et des débours. Se comporte de façon téméraire ou de mauvaise foi, au sens de cette disposition, celui qui, en violation du devoir d'agir selon la bonne foi, forme un recours sans avoir d'intérêt concret digne de protection et bien que la situation en fait et en droit soit claire, avant tout pour ralentir la procédure (ATF 127 III 178 et les références). Cette disposition permet de sanctionner un recours aux institutions judiciaires voué à l'échec, souvent à des fins dilatoires, qui serait fait en violation des règles de la bonne foi (GILLIERON, op. cit., n. 19 ad art. 20a).</w:t>
      </w:r>
    </w:p>
    <w:p>
      <w:r>
        <w:rPr>
          <w:b/>
        </w:rPr>
        <w:t>E. 3.2</w:t>
      </w:r>
    </w:p>
    <w:p>
      <w:r>
        <w:t>En l'occurrence, la plaignante – qui est assistée d'un avocat – ne pouvait ignorer que sa "nouvelle" plainte consistait en réalité à redéposer, devant la même autorité, les mêmes plaintes qu'en 2007 et 2009. Ce faisant, elle a délibérément fait abstraction des décisions rendues par la Commission de surveillance les 22 mars 2007, 8 novembre 2007 et 4 mars 2010 et formé sa plainte alors qu'elle devait la savoir d'emblée vouée à l'échec. Un tel comportement procédural viole les règles de la bonne foi. Un émolument de 500 fr. sera par conséquent mis à la charge de la plaignante. La Chambre de céans renoncera en revanche à prononcer une amende à son encontre, respectivement à l'encontre de son conseil, leur attention étant toutefois expressément attirée sur le risque qu'une telle sanction leur soit infligée si la même situation devait se répéter. * * * * *</w:t>
      </w:r>
    </w:p>
    <w:p>
      <w:r>
        <w:t>- 12/12 -</w:t>
      </w:r>
    </w:p>
    <w:p>
      <w:r>
        <w:t>A/1730/2018-CS PAR CES MOTIFS, La Chambre de surveillance : Déclare irrecevable la plainte formée le 23 mai 2018 par A______ en constatation de la nullité de la vente aux enchères du 3 octobre 2006 dans le cadre de la poursuite en réalisation de gage n° 11______. Condamne A______ au paiement d'un émolument de 500 fr. Siégeant : Madame Nathalie RAPP, présidente; Madame Marilyn NAHMANI et Monsieur Denis KELLER, juges assesseur(e)s; Madame Sylvie SCHNEWLIN, greffière.</w:t>
      </w:r>
    </w:p>
    <w:p>
      <w:r>
        <w:t>La présidente :</w:t>
      </w:r>
    </w:p>
    <w:p>
      <w:r>
        <w:t>Nathalie RAPP</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