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DCSO/588/2018 vom 8. November 2018</w:t>
      </w:r>
    </w:p>
    <w:p>
      <w:r>
        <w:t>GE Cour de justice, 2018-11-08, FR</w:t>
      </w:r>
    </w:p>
    <w:p>
      <w:r>
        <w:rPr>
          <w:b/>
        </w:rPr>
        <w:t xml:space="preserve">Quelle: </w:t>
      </w:r>
      <w:r>
        <w:t>https://mcp.opencaselaw.ch/entscheid/ge_gerichte_DCSO_588_2018</w:t>
      </w:r>
    </w:p>
    <w:p>
      <w:r>
        <w:t>FR: GE_GERICHTE DCSO/588/2018 du 8 novembre 2018</w:t>
      </w:r>
    </w:p>
    <w:p>
      <w:r>
        <w:t>IT: GE_GERICHTE DCSO/588/2018 del 8 novembre 2018</w:t>
      </w:r>
    </w:p>
    <w:p>
      <w:pPr>
        <w:pStyle w:val="Heading2"/>
      </w:pPr>
      <w:r>
        <w:t>Regeste</w:t>
      </w:r>
    </w:p>
    <w:p>
      <w:r>
        <w:t>Résumé: Demande de révision d'une décision de la CSO.</w:t>
      </w:r>
    </w:p>
    <w:p>
      <w:pPr>
        <w:pStyle w:val="Heading2"/>
      </w:pPr>
      <w:r>
        <w:t>Erwägungen</w:t>
      </w:r>
    </w:p>
    <w:p>
      <w:r>
        <w:rPr>
          <w:b/>
        </w:rPr>
        <w:t>E. 1.1</w:t>
      </w:r>
    </w:p>
    <w:p>
      <w:r>
        <w:t>La Chambre de surveillance de la Cour de justice, fonctionnant en tant qu'autorité cantonale de surveillance des Offices des poursuites et des faillites (art. 126 al. 1 let. a et al. 2 let. c LOJ; art. 6 al. 3 LaLP), applique la procédure administrative genevoise (LPA; art. 20a al. 4 LP; art. 9 al. 4 LaLP). La voie de la révision est prévue à l'art. 80 let. b LPA. Selon cette disposition, il y a lieu à révision lorsque, dans une affaire réglée par une décision définitive, il apparaît que des faits ou des moyens de preuve nouveaux et importants existent, que le recourant ne pouvait connaître ou invoquer dans la procédure précédente. Cet article reprend en substance l'art. 123 al. 2 let. a LTF, selon lequel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La demande de révision fondée sur des faits ou moyens de preuve nouveaux et importants doit être adressée par écrit à la juridiction qui a rendu la décision à réviser dans les trois mois dès la découverte du motif de révision allégué, mais au plus tard dans les dix ans à compter de la notification de cette décision (art. 81 al.1 et 2 LPA). Elle doit désigner la décision attaquée, indiquer le motif de révision et les moyens de preuve et contenir les conclusions du requérant pour le cas où la révision serait admise et une nouvelle décision prise (art. 81 al. 3 et 65 al. 1 al. 2 LPA).</w:t>
      </w:r>
    </w:p>
    <w:p>
      <w:r>
        <w:rPr>
          <w:b/>
        </w:rPr>
        <w:t>E. 1.2</w:t>
      </w:r>
    </w:p>
    <w:p>
      <w:r>
        <w:t>En l'espèce, non seulement la demande formée par A______ ne comprend pas de conclusions au cas où la révision serait admise et une nouvelle décision prise,</w:t>
      </w:r>
    </w:p>
    <w:p>
      <w:r>
        <w:t>- 4/5 -</w:t>
      </w:r>
    </w:p>
    <w:p>
      <w:r>
        <w:t>A/3322/2018-CS se limitant à demander l'annulation de la décision dont il demande la révision, mais en plus celui-ci ne fait valoir aucun faits ou moyens de preuve nouveaux et importants, se limitant de reprendre l'argumentation développée dans sa plainte du</w:t>
      </w:r>
    </w:p>
    <w:p>
      <w:r>
        <w:rPr>
          <w:b/>
        </w:rPr>
        <w:t>E. 2</w:t>
      </w:r>
    </w:p>
    <w:p>
      <w:r>
        <w:t>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