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DCSO/587/2017 vom 9. November 2017</w:t>
      </w:r>
    </w:p>
    <w:p>
      <w:r>
        <w:t>GE Cour de justice, 2017-11-09, FR</w:t>
      </w:r>
    </w:p>
    <w:p>
      <w:r>
        <w:rPr>
          <w:b/>
        </w:rPr>
        <w:t xml:space="preserve">Quelle: </w:t>
      </w:r>
      <w:r>
        <w:t>https://mcp.opencaselaw.ch/entscheid/ge_gerichte_DCSO_587_2017</w:t>
      </w:r>
    </w:p>
    <w:p>
      <w:r>
        <w:t>FR: GE_GERICHTE DCSO/587/2017 du 9 novembre 2017</w:t>
      </w:r>
    </w:p>
    <w:p>
      <w:r>
        <w:t>IT: GE_GERICHTE DCSO/587/2017 del 9 novembre 2017</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w:t>
      </w:r>
    </w:p>
    <w:p>
      <w:r>
        <w:t>- 4/6 -</w:t>
      </w:r>
    </w:p>
    <w:p>
      <w:r>
        <w:t>A/2306/2017-CS 572 consid. 4), la nullité des mesures de l'Office contraires à des dispositions édictées dans l'intérêt public ou dans l'intérêt de personnes qui ne sont pas parties à la procédure (art. 22 al. 1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Une augmentation des conclusions après l'expiration du délai de plainte n'est pas admissible (arrêt du Tribunal fédéral 5A_326/2015 du14 janvier 2016 consid. 2.2).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Emanant d'une personne lésée ou exposée à l'être dans ses intérêts juridiquement protégés, respectant la forme écrite, comportant une motivation et des conclusions et dirigée contre une décision de l'Office pouvant être contestée par cette voie, la plainte est, à ces égards, recevable. Elle est en revanche tardive : alors que le plaignant a reçu l'acte de défaut de biens contesté le 6 décembre 2016, ce n'est en effet que le 24 mai 2017 qu'il a adressé sa plainte – datée du 29 janvier 2017 – à l'autorité de céans. Il n'y a pour le surplus pas lieu de se demander si le courrier à l'intention de l'Office daté du 15 décembre 2016, dont une copie a été produite par le plaignant en annexe à sa lettre datée du 24 septembre 2017 (cf. let. B.d ci-dessus), aurait dû être considéré comme une plainte et communiqué comme telle à la Chambre de surveillance : il n'est en effet nullement avéré que ce courrier ait effectivement été adressé à l'Office, ni le cas échéant à quelle date, étant relevé à cet égard que le plaignant paraît avoir pour habitude de ne pas dater ses courriers du jour de leur envoi. Il n'apparaît pas pour le surplus que la délivrance d'un acte de défaut de biens au créancier de l'associé d'une société en nom collectif ayant continué en cours de poursuite les affaires de ladite société serait contraire à une disposition édictée dans l'intérêt public ou dans l'intérêt de personnes qui ne sont pas parties à la procédure de poursuite, ce qui entraînerait sa nullité. Il y a lieu à cet égard de relever que l'art. 579 al. 1 CO prévoit une véritable continuation – sans liquidation – de l'activité sociale, mais sous une forme juridique différente, l'actif social entrant ipso iure dans le patrimoine de l'associé continuant l'activité et ce dernier répondant personnellement de toutes les dettes sociales (VULLIETY, CR CO II, 2017, n° 6 et 8 ad art. 579 CO). La situation est ainsi comparable à celle dans</w:t>
      </w:r>
    </w:p>
    <w:p>
      <w:r>
        <w:t>- 5/6 -</w:t>
      </w:r>
    </w:p>
    <w:p>
      <w:r>
        <w:t>A/2306/2017-CS laquelle le débiteur change de raison sociale ou de forme juridique en cours de poursuite. La plainte doit ainsi être déclarée irrecevable.</w:t>
      </w:r>
    </w:p>
    <w:p>
      <w:r>
        <w:rPr>
          <w:b/>
        </w:rPr>
        <w:t>E. 3</w:t>
      </w:r>
    </w:p>
    <w:p>
      <w:r>
        <w:t>La procédure de plainte est gratuite (art. 20a al. 2 ch. 5 LP et art. 61 al. 2 let. a OELP) et il ne peut être alloué aucuns dépens dans cette procédure (art. 62 al. 2 OELP). * * * * *</w:t>
      </w:r>
    </w:p>
    <w:p>
      <w:r>
        <w:t>- 6/6 -</w:t>
      </w:r>
    </w:p>
    <w:p>
      <w:r>
        <w:t>A/2306/2017-CS PAR CES MOTIFS, La Chambre de surveillance : A la forme : Déclare irrecevable la plainte formée le 24 mai 2017 par A______ contre l'acte de défaut de biens établi le 22 novembre 2016 dans la poursuite n° 15 xxxx15 Z. Siégeant : Monsieur Patrick CHENAUX, président; Monsieur Michel BERTSCHY et Monsieur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