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DCSO/57/2023 vom 16. Februar 2023</w:t>
      </w:r>
    </w:p>
    <w:p>
      <w:r>
        <w:t>GE Cour de justice, 2023-02-16, FR</w:t>
      </w:r>
    </w:p>
    <w:p>
      <w:r>
        <w:rPr>
          <w:b/>
        </w:rPr>
        <w:t xml:space="preserve">Quelle: </w:t>
      </w:r>
      <w:r>
        <w:t>https://mcp.opencaselaw.ch/entscheid/ge_gerichte_DCSO_57_2023</w:t>
      </w:r>
    </w:p>
    <w:p>
      <w:r>
        <w:t>FR: GE_GERICHTE DCSO/57/2023 du 16 février 2023</w:t>
      </w:r>
    </w:p>
    <w:p>
      <w:r>
        <w:t>IT: GE_GERICHTE DCSO/57/2023 del 16 febbraio 2023</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Une augmentation des conclusions après l'expiration du délai de plainte n'est pas admissible (arrêt du Tribunal fédéral 5A_326/2015 du14 janvier 2016 consid. 2.2).</w:t>
      </w:r>
    </w:p>
    <w:p>
      <w:r>
        <w:rPr>
          <w:b/>
        </w:rPr>
        <w:t>E. 1.2</w:t>
      </w:r>
    </w:p>
    <w:p>
      <w:r>
        <w:t>Formée en temps utile, dirigée contre un acte de poursuite – le commandement de payer – pouvant être contesté par cette voie, émanant d'une personne susceptible d'être lésée dans ses intérêts juridiquement protégés et respectant pour le surplus les exigences de forme prévues par la loi, la plainte est en l'espèce recevable.</w:t>
      </w:r>
    </w:p>
    <w:p>
      <w:r>
        <w:t>Tardives, et portant au demeurant sur des constatations factuelles de nature préjudicielle, les conclusions préalables nouvellement formulées par la plaignante dans sa réplique spontanée sont en revanche irrecevables.</w:t>
      </w:r>
    </w:p>
    <w:p>
      <w:r>
        <w:rPr>
          <w:b/>
        </w:rPr>
        <w:t>E. 2</w:t>
      </w:r>
    </w:p>
    <w:p>
      <w:r>
        <w:t>2.1.1 Selon l'art. 67 al. 1 ch. 1 LP, la réquisition de poursuite doit, s'il y a lieu, indiquer l'identité et le domicile de l'éventuel représentant du créancier. Il en va de même, en vertu de l'art. 69 al. 2 ch. 1 LP, du commandement de payer. L'office des poursuites n'a pas à rechercher d'office si la personne qui a signé la réquisition de poursuite pour le compte du créancier disposait véritablement des pouvoirs pour le faire (ATF 144 III 277 consid. 3.1.1). Un éventuel défaut de pouvoirs de représentation doit être soulevé par le débiteur dans le cadre d'une plainte à l'autorité de surveillance (ATF 144 III 277 consid. 3.1.1; arrêt du Tribunal fédéral</w:t>
      </w:r>
    </w:p>
    <w:p>
      <w:r>
        <w:t>- 5/8 -</w:t>
      </w:r>
    </w:p>
    <w:p>
      <w:r>
        <w:t>A/3183/2022-CS 5A_768/2014 du 2 novembre 2015 consid. 7.2). S'il est vérifié, ce défaut conduira à l'annulation du commandement de payer et de la poursuite.</w:t>
      </w:r>
    </w:p>
    <w:p>
      <w:r>
        <w:t>2.1.2 Selon l'art. 731b CO, un actionnaire ou un créancier peut, en cas de carence au sens de l'art. 731b al. 1 ch. 1 à 5 CO dans l'organisation d'une société (notamment d'une société anonyme), requérir du juge de son siège (art. 10 al. 1 let. b CPC) qu'il prenne les mesures nécessaires. Le juge peut notamment prononcer la dissolution de la société et ordonner sa liquidation selon les règles de la faillite.</w:t>
      </w:r>
    </w:p>
    <w:p>
      <w:r>
        <w:t>Bien qu'une telle décision ne constitue pas à proprement parler un jugement de faillite (art. 731b al. 4 CO; PETER/CAVADINI, CR CO II, 2ème édition, N 23 ad art. 731b CO), elle a pour conséquence que la liquidation de la société dissoute se déroulera sous le contrôle de l'autorité étatique, soit en principe l'office des faillites, en suivant la procédure des art. 197 et suivants LP. Est en particulier applicable l'art. 240 LP, selon lequel l'administration de la faillite exerce seul le pouvoir de disposition sur les biens du failli faisant partie de la masse et agit comme son représentant légal (JEANDIN/FISCHER, CR LP, 2005, N 1 et 2 ad art. 240 LP), lui-même ne pouvant plus disposer de ses biens (art. 204 al. 1 LP) ni accepter des paiements (art. 205 LP).</w:t>
      </w:r>
    </w:p>
    <w:p>
      <w:r>
        <w:t>2.1.3 Selon l'art. 163 al. 1 LDIP, une société suisse peut, sans procéder à une liquidation ni à une nouvelle fondation, se soumettre au droit étranger si elle satisfait aux conditions visées par le droit suisse et si elle continue d'exister en vertu du droit étranger. L'al. 2 de cette disposition précise que le transfert doit être précédé d'un appel aux créanciers, ceux-ci devant être informés du changement projeté de statut juridique et invités à produire leurs créances; s'il s'agit d'une société inscrite au Registre du commerce, ils pourront en outre exiger que ces créances soient garanties.</w:t>
      </w:r>
    </w:p>
    <w:p>
      <w:r>
        <w:t>D'un point de vue suisse, la société ne cessera d'exister comme société suisse qu'à partir de sa radiation du Registre du commerce (DUTOIT/BONOMI, Droit international privé suisse, commentaire de la loi fédérale du 18 décembre 1987, 6ème édition, 2022, N 3 ad art. 163 LDIP). Cette radiation suppose la production par le requérant d'un certain nombre de documents (art. 127 al. 1 ORC), parmi lesquels le rapport d'un expert-réviseur agréé attestant que les créanciers ont obtenu des garanties, ont été désintéressés au sens de l'art. 46 LFus ou consentent à la radiation (art. 164 al. 1 LDIP et art. 127 al. 1 let. b ORC), ainsi que l'approbation des autorités fiscales de la Confédération et du canton (art. 127 al. 2 ORC).</w:t>
      </w:r>
    </w:p>
    <w:p>
      <w:r>
        <w:rPr>
          <w:b/>
        </w:rPr>
        <w:t>E. 2.2</w:t>
      </w:r>
    </w:p>
    <w:p>
      <w:r>
        <w:t>L'intimée fait valoir que, bien que leurs raisons sociales soient identiques, elle serait une personne morale différente et distincte de celle dont la dissolution a été prononcée le 12 mai 2022 par le Tribunal. Elle invoque à cet égard son inscription au Registre du commerce du Luxembourg, intervenue le 15 juillet 2015.</w:t>
      </w:r>
    </w:p>
    <w:p>
      <w:r>
        <w:t>- 6/8 -</w:t>
      </w:r>
    </w:p>
    <w:p>
      <w:r>
        <w:t>A/3183/2022-CS</w:t>
      </w:r>
    </w:p>
    <w:p>
      <w:r>
        <w:t>Ce point de vue ne peut être partagé. Il résulte au contraire des pièces du dossier, et en particulier du procès-verbal de l'assemblée générale de l'intimée tenue le 1er juillet 2015 au Luxembourg, que son inscription deux semaines plus tard dans le Registre du commerce de cet Etat est la conséquence de son transfert de siège et non de sa constitution. Cette qualification a pour conséquence que, d'un point de vue suisse, l'intimée restait une société suisse jusqu'à sa radiation du Registre du commerce. laquelle impliquait un certain nombre de démarches et vérifications destinées à protéger les créanciers et les administrations fiscales fédérale et cantonale. Dans la mesure où cette radiation n'est finalement jamais intervenue, l'intimée ayant au contraire expressément retiré sa réquisition en ce sens, le transfert de siège qu'elle projetait ne s'est, du point de vue suisse, jamais concrétisé : elle est donc demeurée une société suisse et, à ce titre, ne saurait invoquer en sa faveur les art. 21 al. 2, 154 et 155 LDIP pour prétendre être reconnue en Suisse comme une société luxembourgeoise.</w:t>
      </w:r>
    </w:p>
    <w:p>
      <w:r>
        <w:t>La Chambre de céans ne voit ainsi aucun motif de s'écarter du constat auquel est parvenue la Cour dans son arrêt du 17 janvier 2022 – constat considéré comme non arbitraire par le Tribunal fédéral – selon lequel il n'existe qu'une société B______ SA et non pas deux. Le fait que, pour des raisons qui lui sont propres, l'intimée ait choisi de faire état dans divers actes officiels, et notamment dans les actes de procédure déposés dans la présente cause ainsi que dans la cause C/1______/2021, d'une adresse, voire d'un siège, luxembourgeois n'y change rien : faute d'avoir satisfait aux réquisits de l'art. 163 al. 1 LDIP, elle est restée – sous l'angle du droit suisse – une société suisse. Admettre le contraire reviendrait à autoriser une société suisse à "émigrer" selon son bon vouloir en emportant avec elle ses actifs sans tenir aucun compte des droits de ses créanciers et des autorités fiscales suisses, ce qui ne correspond pas à la volonté du législateur.</w:t>
      </w:r>
    </w:p>
    <w:p>
      <w:r>
        <w:t>Dans la continuité des considérations qui précèdent, il y a lieu de constater que le siège de l'intimée est demeuré à C______ [Jura] jusqu'au 28 août 2017, date à laquelle il a été transféré à Genève, où il se trouve aujourd'hui encore. Le Tribunal était donc compétent (art. 10 al. 1 let. b CPC) pour prononcer, en application de l'art. 731b al. 1bis ch. 3 CO, sa dissolution et sa liquidation selon les règles de la faillite.</w:t>
      </w:r>
    </w:p>
    <w:p>
      <w:r>
        <w:t>Prononcée le 27 juin 2022, et publiée le 30 juin 2022, la décision du Tribunal a eu pour effet de priver l'intimée, respectivement ses organes ou les personnes nommées par eux, de disposer de son patrimoine (art. 204 LP) et d'accepter des paiements (art. 205 LP), seule l'administration de la faillite (ou les personnes mandatées à cet effet par cette dernière) étant désormais autorisée à représenter la masse à l'égard des tiers (art. 240 LP).</w:t>
      </w:r>
    </w:p>
    <w:p>
      <w:r>
        <w:t>Il résulte de ce qui précède que seule l'administration de la masse (soit concrètement, et à tout le moins jusqu'à la première assemblée des créanciers, l'office cantonal des faillites), respectivement une personne mandatée par celle-ci, pouvait engager des poursuites en recouvrement d'une créance dont l'intimée était</w:t>
      </w:r>
    </w:p>
    <w:p>
      <w:r>
        <w:t>- 7/8 -</w:t>
      </w:r>
    </w:p>
    <w:p>
      <w:r>
        <w:t>A/3183/2022-CS titulaire au moment de sa dissolution (art. 197 al. 1 LP) ou d'une créance de masse.</w:t>
      </w:r>
    </w:p>
    <w:p>
      <w:r>
        <w:t>Dans le cas d'espèce, la réquisition de poursuite a été adressée à l'Office le 16 septembre 2022 – soit deux mois et demi après la publication de la liquidation par voie de faillite – par un mandataire dont il est constant qu'il n'a pas été mandaté à cet effet par l'administration de la faillite, et qu'il ne disposait donc pas des pouvoirs pour agir au nom de l'intimée. Il n'est par ailleurs pas allégué que l'administration de la masse aurait par la suite ratifié la réquisition déposée sans pouvoirs, laquelle se révèle ainsi, a posteriori, inefficace.</w:t>
      </w:r>
    </w:p>
    <w:p>
      <w:r>
        <w:t>La plainte est donc bien fondée : la poursuite n° 3______ de même que le commandement de payer notifié le 19 septembre 2022 dans ladite poursuite seront donc annulés.</w:t>
      </w:r>
    </w:p>
    <w:p>
      <w:r>
        <w:rPr>
          <w:b/>
        </w:rPr>
        <w:t>E. 3</w:t>
      </w:r>
    </w:p>
    <w:p>
      <w:r>
        <w:t>Au vu des considérants qui précèdent, la présente décision sera notifiée, pour l'intimée, en mains de l'office cantonal des faillites. Une copie en sera toutefois communiquée par pli recommandé, à titre d'information, au mandataire ayant signé la réquisition de poursuite.</w:t>
      </w:r>
    </w:p>
    <w:p>
      <w:r>
        <w:rPr>
          <w:b/>
        </w:rPr>
        <w:t>E. 4</w:t>
      </w:r>
    </w:p>
    <w:p>
      <w:r>
        <w:t>La procédure de plainte est gratuite (art. 20a al. 2 ch. 5 LP et art. 61 al. 2 let. a OELP) et il ne peut être alloué aucuns dépens dans cette procédure (art. 62 al. 2 OELP).</w:t>
      </w:r>
    </w:p>
    <w:p>
      <w:r>
        <w:t>* * * * *</w:t>
      </w:r>
    </w:p>
    <w:p>
      <w:r>
        <w:t>- 8/8 -</w:t>
      </w:r>
    </w:p>
    <w:p>
      <w:r>
        <w:t>A/3183/2022-CS PAR CES MOTIFS, La Chambre de surveillance : A la forme : Déclare recevable la plainte formée le 29 septembre 2022 par A______ SA contre le commandement de payer notifié le 19 septembre 2022 dans la poursuite n° 3______. Au fond : L'admet. Annule le commandement de payer, poursuite n° 3______. Annule la poursuite n° 3______. Siégeant : Monsieur Patrick CHENAUX, président; Monsieur Luca MINOTTI et Monsieur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