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DCSO/577/2023 vom 21. Dezember 2023</w:t>
      </w:r>
    </w:p>
    <w:p>
      <w:r>
        <w:t>GE Cour de justice, 2023-12-21, FR</w:t>
      </w:r>
    </w:p>
    <w:p>
      <w:r>
        <w:rPr>
          <w:b/>
        </w:rPr>
        <w:t xml:space="preserve">Quelle: </w:t>
      </w:r>
      <w:r>
        <w:t>https://mcp.opencaselaw.ch/entscheid/ge_gerichte_DCSO_577_2023</w:t>
      </w:r>
    </w:p>
    <w:p>
      <w:r>
        <w:t>FR: GE_GERICHTE DCSO/577/2023 du 21 décembre 2023</w:t>
      </w:r>
    </w:p>
    <w:p>
      <w:r>
        <w:t>IT: GE_GERICHTE DCSO/577/2023 del 21 dicembre 2023</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7B_79/2004 du 10 mai 2004, consid. 3.2; 7B_126/2003 du 31 juillet 2003).</w:t>
      </w:r>
    </w:p>
    <w:p>
      <w:r>
        <w:rPr>
          <w:b/>
        </w:rPr>
        <w:t>E. 1.2</w:t>
      </w:r>
    </w:p>
    <w:p>
      <w:r>
        <w:t>En l'espèce, après avoir eu connaissance du résultat de l'expertise réalisée par l'architecte mandaté par l'Office, les débiteurs poursuivis, par ailleurs propriétaires des immeubles constitués en gage, ont requis de la Chambre de céans, dans les délai et forme prescrits par la loi, qu'une nouvelle estimation soit effectuée par un second expert. Ils ont en outre payé en temps utile l'avance de frais fixée.</w:t>
      </w:r>
    </w:p>
    <w:p>
      <w:r>
        <w:t>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w:t>
      </w:r>
    </w:p>
    <w:p>
      <w:r>
        <w:t>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elle sert également à fixer le prix minimal en cas de vente de gré à gré (art. 143b al. 1 LP).</w:t>
      </w:r>
    </w:p>
    <w:p>
      <w:r>
        <w:t>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Commentaire de la loi sur la poursuite pour dettes et la faillite, 2000, n° 16 ad art. 97 LP).</w:t>
      </w:r>
    </w:p>
    <w:p>
      <w:r>
        <w:t>Compte tenu du fait que l'estimation d'un immeuble fait appel à des connaissances spécialisées dans le domaine de l'immobilier et de la construction, l'Office de même que, sur demande de nouvelle expertise, la Chambre de surveillance s'en</w:t>
      </w:r>
    </w:p>
    <w:p>
      <w:r>
        <w:t>- 5/8 -</w:t>
      </w:r>
    </w:p>
    <w:p>
      <w:r>
        <w:t>A/3643/2022-CS remettent en principe à l'avis d'un expert, pour autant que celui-ci soit dûment motivé.</w:t>
      </w:r>
    </w:p>
    <w:p>
      <w:r>
        <w:t>Il n'est pas rare que l'estimation du prix de vente d'un immeuble conduise à des résultats divergents entre experts. L'autorité de surveillance peut procéder à une moyenne (ATF 120 III 79 consid. 2b = JdT 1996 II 1999; arrêt du Tribunal fédéral 5A_421/2018 du 13 novembre 2018 consid. 6.2.1; Zopfi, op. cit., n° 10 ad art. 9 ORFI), pour autant que les deux expertises effectuées retiennent toutes deux des critères appropriés et tiennent compte des circonstances pertinentes (ATF 120 III 79 consid. 1 et 2b).</w:t>
      </w:r>
    </w:p>
    <w:p>
      <w:r>
        <w:t>Si l'autorité de surveillance entend s'écarter d'une expertise, elle doit motiver sa position (ATF 120 III 79 consid. 2c = JdT 1996 II 1999).</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sur laquelle les experts partagent une opinion similaire.</w:t>
      </w:r>
    </w:p>
    <w:p>
      <w:r>
        <w:t>Une visite des lieux a été effectuée par les deux experts, lesquels ont appliqué la même méthode d'estimation, dite de la "valeur résiduelle", qui tient compte du fait que les terrains pourront être valorisés par une promotion immobilière, pour laquelle une autorisation de construire a été sollicitée, conformément à la zone de construction, en optimisant les droits à bâtir.</w:t>
      </w:r>
    </w:p>
    <w:p>
      <w:r>
        <w:t>La valeur totale des trois terrains selon la seconde expertise est de 10'244'519 fr. contre 9'403'166 fr. pour le premier expert, soit une différence inférieure à 10%.</w:t>
      </w:r>
    </w:p>
    <w:p>
      <w:r>
        <w:t>La divergence entre les deux expertises tient à la prise compte, par le second expert, d'éléments nouveaux apportés par l'étude du dossier relatif à la requête d'autorisation de construire, de sorte que la seconde expertise apparaît plus pertinente puisqu'elle reflète une situation actualisée.</w:t>
      </w:r>
    </w:p>
    <w:p>
      <w:r>
        <w:t>Le second expert s'est par ailleurs référé à une norme SIA pour calculer le coût au m3 de la construction, contrairement au premier expert, qui n'a pas explicité les bases de son calcul à cet égard.</w:t>
      </w:r>
    </w:p>
    <w:p>
      <w:r>
        <w:t>Il convient donc de privilégier le résultat de l'expertise judiciaire et de retenir une valeur totale des trois parcelles de 10'244'519 fr.</w:t>
      </w:r>
    </w:p>
    <w:p>
      <w:r>
        <w:t>Les requérants considèrent que cette estimation est trop basse mais ne formulent aucune critique précise à l'encontre de l'un ou l'autre des éléments pris en considération par le second expert, en particulier s'agissant de la méthode employée ou des critères et valeurs appliqués. Ils se limitent à se référer à des évaluations privées, obtenues à leur demande, qui n'offrent pas les mêmes garanties d'indépendance qu'une expertise judiciaire, sans aucune motivation, étant précisé que l'une d'elles est un simple courrier d'une page. Or, il convient de</w:t>
      </w:r>
    </w:p>
    <w:p>
      <w:r>
        <w:t>- 6/8 -</w:t>
      </w:r>
    </w:p>
    <w:p>
      <w:r>
        <w:t>A/3643/2022-CS rappeler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ce que l'expert judiciaire a fait à satisfaction.</w:t>
      </w:r>
    </w:p>
    <w:p>
      <w:r>
        <w:t>La valeur d'estimation des parcelles sera donc fixée à 7'690'950 fr. pour la parcelle n° 3______, 752'100 fr. pour la parcelle n° 1______ et 1'801'450 fr. pour la parcelle n° 2______, ainsi qu'il résulte de l'expertise F______.</w:t>
      </w:r>
    </w:p>
    <w:p>
      <w:r>
        <w:rPr>
          <w:b/>
        </w:rPr>
        <w:t>E. 3</w:t>
      </w:r>
    </w:p>
    <w:p>
      <w:r>
        <w:t>Le second expert a arrêté ses honoraires à 2'800 fr. 20 fr., montant qui paraît conforme aux tarifs usuellement pratiqués dans la branche. Sa note d'honoraires du 17 mars 2023 peut donc être approuvée.</w:t>
      </w:r>
    </w:p>
    <w:p>
      <w:r>
        <w:t>La nouvelle expertise ayant été requise par les débiteurs poursuivis, son coût restera à leur charge (art. 9 al. 1 1ère phr. ORFI), et sera compensé à due concurrence avec l'avance de 3'000 fr. qu'ils ont versée. Le solde en 199 fr. 80 sera restitué aux requérants.</w:t>
      </w:r>
    </w:p>
    <w:p>
      <w:r>
        <w:t>La procédure devant la Chambre de céans est pour le surplus gratuite (art. 20a al. 2 ch. 5 LP et 61 al. 2 let. a OELP) et il ne peut être alloué aucun dépens (art. 62 al. 2 OELP). * * * * *</w:t>
      </w:r>
    </w:p>
    <w:p>
      <w:r>
        <w:t>- 7/8 -</w:t>
      </w:r>
    </w:p>
    <w:p>
      <w:r>
        <w:t>A/3643/2022-CS PAR CES MOTIFS, La Chambre de surveillance :</w:t>
      </w:r>
    </w:p>
    <w:p>
      <w:r>
        <w:t>A la forme : Déclare recevable la requête en nouvelle expertise formée le 25 octobre 2022 par A______ SA et B______. Au fond : Arrête à 7'690'950 fr. la valeur de la parcelle n° 3______ de la Commune de D______. Arrête à 752'100 fr. la valeur de la parcelle n° 1______ de la Commune de D______. Arrête à 1'801'450 fr. la valeur de la parcelle n° 2______ de la Commune de D______. Fixe à 2'800 fr. 20 les frais de la nouvelle expertise invite l'Etat de Genève, soit pour lui les Services financiers du Pouvoir judiciaire, à verser ledit montant à l'expert F______. Met ces frais à la charge de A______ SA et B______ et les compense à due concurrence avec l'avance versée, qui reste acquise à l'Etat de Genève. Invite les Services financiers du Pouvoir judiciaire à restituer à A______ SA et B______ le solde de l'avance de frais en 199 fr. 80. Siégeant : Monsieur Patrick CHENAUX, président; Madame Verena PEDRAZZINI RIZZI et Monsieur Jean REYMOND, juges; Madame Véronique AMAUDRY-PISCETTA, greffière.</w:t>
      </w:r>
    </w:p>
    <w:p>
      <w:r>
        <w:t>Le président :</w:t>
      </w:r>
    </w:p>
    <w:p>
      <w:r>
        <w:t>La greffière :</w:t>
      </w:r>
    </w:p>
    <w:p>
      <w:r>
        <w:t>Patrick CHENAUX Véronique AMAUDRY-PISCETTA</w:t>
      </w:r>
    </w:p>
    <w:p>
      <w:r>
        <w:t>- 8/8 -</w:t>
      </w:r>
    </w:p>
    <w:p>
      <w:r>
        <w:t>A/3643/2022-CS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