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DCSO/570/2017 vom 9. November 2017</w:t>
      </w:r>
    </w:p>
    <w:p>
      <w:r>
        <w:t>GE Cour de justice, 2017-11-09, FR</w:t>
      </w:r>
    </w:p>
    <w:p>
      <w:r>
        <w:rPr>
          <w:b/>
        </w:rPr>
        <w:t xml:space="preserve">Quelle: </w:t>
      </w:r>
      <w:r>
        <w:t>https://mcp.opencaselaw.ch/entscheid/ge_gerichte_DCSO_570_2017</w:t>
      </w:r>
    </w:p>
    <w:p>
      <w:r>
        <w:t>FR: GE_GERICHTE DCSO/570/2017 du 9 novembre 2017</w:t>
      </w:r>
    </w:p>
    <w:p>
      <w:r>
        <w:t>IT: GE_GERICHTE DCSO/570/2017 del 9 novembre 2017</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w:t>
      </w:r>
    </w:p>
    <w:p>
      <w:r>
        <w:t>- 3/4 -</w:t>
      </w:r>
    </w:p>
    <w:p>
      <w:r>
        <w:t>A/3710/2017-CS droit fédéral que la plainte doit contenir un exposé des motifs et des moyens invoqués, des conclusions et la signature du plaignant (FAVRE, Droit des poursuites, 3ème éd., p. 70).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A défaut, la Chambre de surveillance doit impartir audit plaignant un bref délai pour satisfaire à ces exigences, sous peine d’irrecevabilité de sa plainte (art. 9 al. 2 LaLP et art. 65 al. 2 LPA).</w:t>
      </w:r>
    </w:p>
    <w:p>
      <w:r>
        <w:rPr>
          <w:b/>
        </w:rPr>
        <w:t>E. 2.2</w:t>
      </w:r>
    </w:p>
    <w:p>
      <w:r>
        <w:t>Dans le cas particulier, la Chambre de surveillance a, par courrier expédié sous pli recommandé du 13 septembre 2017, invité A______ à produire l’acte visé dans sa plainte avant le 24 septembre 2017. Le plaignant a expédié à la Chambre de surveillance un courrier daté du 13 septembre 2017 et reçu le 14 septembre 2017, faisant état de circonstances sans aucune pertinence au regard des compétences de la Chambre de surveillance dans le cadre d’une plainte formée en application de l’art. 17 LP. En outre, ce courrier n’était accompagné d’aucun acte de poursuite, soit précisément une décision de l’Office sujette à plainte au sens de l’art. 17 LP susmentionné. Enfin, ladite décision n’a pas non plus été transmise par le plaignant à la Chambre de surveillance avant l’échéance du délai précité fixé au 24 septembre 2017, ou par la suite. Par conséquent, la Chambre de surveillance ne peut statuer en connaissance de cause sur les griefs formés par le plaignant, à supposer qu’ils soient compréhensibles, puisqu’elle ignore contre quel acte de poursuite auquel décision de l’Office cette plainte est dirigée. La présente plainte doit dès lors être déclarée irrecevable, sans autre instruction.</w:t>
      </w:r>
    </w:p>
    <w:p>
      <w:r>
        <w:rPr>
          <w:b/>
        </w:rPr>
        <w:t>E. 3</w:t>
      </w:r>
    </w:p>
    <w:p>
      <w:r>
        <w:t>Il n’y a pas lieu à allocation de dépens (art. 62 OELP).</w:t>
      </w:r>
    </w:p>
    <w:p>
      <w:r>
        <w:rPr>
          <w:b/>
        </w:rPr>
        <w:t>E. 4</w:t>
      </w:r>
    </w:p>
    <w:p>
      <w:r>
        <w:t>La présente décision est prise en application des art. 72 LPA et 9 al. 2 LaLP. Elle sera toutefois communiquée à l'Office des poursuites * * * * *</w:t>
      </w:r>
    </w:p>
    <w:p>
      <w:r>
        <w:t>- 4/4 -</w:t>
      </w:r>
    </w:p>
    <w:p>
      <w:r>
        <w:t>A/3710/2017-CS PAR CES MOTIFS, La Chambre de surveillance : Déclare irrecevable la plainte A/3710/2017 expédiée le 11 septembre 2017 par A______. Siégeant : Madame Valérie LAEMMEL-JUILLARD, présidente; Monsieur Georges ZUFFEREY et Monsieur Christian CHAVAZ,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