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DCSO/548/2019 vom 13. August 2015</w:t>
      </w:r>
    </w:p>
    <w:p>
      <w:r>
        <w:t>GE Cour de justice, 2015-08-13, FR</w:t>
      </w:r>
    </w:p>
    <w:p>
      <w:r>
        <w:rPr>
          <w:b/>
        </w:rPr>
        <w:t xml:space="preserve">Quelle: </w:t>
      </w:r>
      <w:r>
        <w:t>https://mcp.opencaselaw.ch/entscheid/ge_gerichte_DCSO_548_2019</w:t>
      </w:r>
    </w:p>
    <w:p>
      <w:r>
        <w:t>FR: GE_GERICHTE DCSO/548/2019 du 13 août 2015</w:t>
      </w:r>
    </w:p>
    <w:p>
      <w:r>
        <w:t>IT: GE_GERICHTE DCSO/548/2019 del 13 agosto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w:t>
      </w:r>
    </w:p>
    <w:p>
      <w:r>
        <w:t>- 5/11 -</w:t>
      </w:r>
    </w:p>
    <w:p>
      <w:r>
        <w:t>A/3019/2019-CS délai utile de dix jours (art. 17 al. 2 LP) et selon la forme prescrite par la loi (art. 9 al. 1 et 2 LaLP; art. 65 al. 1 et 2 LPA, applicables par renvoi de l'art. 9 al. 4 LaLP), à l'encontre d'une mesure de l'Office sujette à plainte, telle qu'un procès- verbal de saisie.</w:t>
      </w:r>
    </w:p>
    <w:p>
      <w:r>
        <w:rPr>
          <w:b/>
        </w:rPr>
        <w:t>E. 2.1</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2.2</w:t>
      </w:r>
    </w:p>
    <w:p>
      <w:r>
        <w:t>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rPr>
          <w:b/>
        </w:rPr>
        <w:t>E. 3.1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w:t>
      </w:r>
    </w:p>
    <w:p>
      <w:r>
        <w:t>- 6/11 -</w:t>
      </w:r>
    </w:p>
    <w:p>
      <w:r>
        <w:t>A/3019/2019-CS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NI-2019,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II.3 NI- 2019) ou les primes d'assurance-maladie obligatoire (art. II.3 NI-2019), doivent être ajoutées à cette base mensuelle d'entretien, pour autant qu'elles soient effectivement payées (OCHSNER, in CR LP, 2005, n. 82 ad art. 93 LP).</w:t>
      </w:r>
    </w:p>
    <w:p>
      <w:r>
        <w:rPr>
          <w:b/>
        </w:rPr>
        <w:t>E. 3.2</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(arrêt du Tribunal fédéral 5A_912/2018 du 16 janvier 2019 consid. 3.1.2 et les références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permette au débiteur, qu'il soit propriétaire ou locataire, de réduire sa charge de logement (ATF 129 III 526 consid. 2 et 3). Dans le cas d'un contrat de bail à long terme, il est incompatible avec l'obligation du débiteur de maintenir ses frais de logement à un niveau raisonnable d'attendre la prochaine date de résiliation ordinaire si celle-ci est trop éloignée dans le temps. Même s'il n'est pas possible, au cours de la saisie, de résilier le contrat pour une échéance ordinaire, le débiteur peut réduire ses frais de logement par d'autres mesures, par exemple par une restitution anticipée de l'objet loué (art. 264 CO) ou</w:t>
      </w:r>
    </w:p>
    <w:p>
      <w:r>
        <w:t>- 7/11 -</w:t>
      </w:r>
    </w:p>
    <w:p>
      <w:r>
        <w:t>A/3019/2019-CS une sous-location totale ou partielle de l'appartement (art. 262 CO) (ATF 129 III 526 consid. 2.1).</w:t>
      </w:r>
    </w:p>
    <w:p>
      <w:r>
        <w:t>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op. cit., p. 137 ss). Le loyer admissible se calcule en retenant qu'un appartement qui comprend autant de pièces, voire une pièce de plus que le nombre de personnes y logeant, est suffisant, étant rappelé qu'à Genève, le nombre de pièces se calcule en tenant compte de la cuisine (SJ 2000 II 214; OCHSNER, Le minimum vital, op. cit., p. 137).</w:t>
      </w:r>
    </w:p>
    <w:p>
      <w:r>
        <w:rPr>
          <w:b/>
        </w:rPr>
        <w:t>E. 3.3</w:t>
      </w:r>
    </w:p>
    <w:p>
      <w:r>
        <w:t>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des poursuites – au moment de la saisie (GILLIERON,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 Lorsqu'elle est saisie d'une plainte, il appartient à l'autorité de surveillance de vérifier uniquement si la retenue fixée par l'office des poursuites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in BSK SchKG I, n. 54 ad art. 93 LP; DCSO/243/2015 du 20 août 2015 consid. 2.2 et 2.3).</w:t>
      </w:r>
    </w:p>
    <w:p>
      <w:r>
        <w:t>- 8/11 -</w:t>
      </w:r>
    </w:p>
    <w:p>
      <w:r>
        <w:t>A/3019/2019-CS</w:t>
      </w:r>
    </w:p>
    <w:p>
      <w:r>
        <w:t>3.4.1 En l'espèce, il ressort du dossier soumis à la Chambre de surveillance que la saisie a été exécutée le 21 mai 2019. Lors de son interrogatoire par l'Office le 28 janvier 2019, le plaignant, assisté de son conseil, a déclaré réaliser un revenu mensuel net de 1'906 fr. 65. Quelques jours plus tard, il a indiqué à l'Office avoir perçu un revenu de 10'000 fr. pour un mandat de collaborateur ayant débuté en avril 2018 (soit le mois suivant son accès à l'âge de l'AVS) pour se terminer en décembre 2018. Pour la première fois dans sa plainte du 22 août 2019, le poursuivi a indiqué avoir cessé toute activité lucrative en qualité d'indépendant le 30 juin 2019. Il en résulte que le plaignant travaillait encore lors de l'exécution de la saisie en mai 2019. En outre, si l'attestation fournie par G______ SA indique que le poursuivi a été mandaté par cette société d'avril à décembre 2018, il n'est fait aucune mention du montant de la rémunération qu'il a perçue à ce titre; il n'en ressort pas non plus qu'il s'agirait du seul mandat assumé par le plaignant pendant la période concernée (que ce soit auprès de G______ SA ou d'une autre société). Le plaignant n'a, par ailleurs, produit aucun document ou justificatif attestant de l'ampleur de sa rémunération d'indépendant (par exemple en produisant ses derniers relevés bancaires ou sa comptabilité) dès janvier 2019. Il ne peut donc être reproché à l'Office d'avoir pris en compte le montant admis par le poursuivi lors de son audition du 28 janvier 2019, soit un gain mensuel de 1'906 fr. 65. Par ailleurs, c'est avant tout au poursuivi qu'il appartenait d'informer l'Office de la cessation définitive de son activité d'indépendant au 30 juin 2019. Or, c'est uniquement à l'occasion de sa plainte, formée le 22 août 2019, que le plaignant a signalé cette circonstance nouvelle. Au surplus, il ne résulte pas du dossier que l'Office aurait eu connaissance de cet événement d'une autre manière. Il résulte de ce qui précède que l'Office a calculé la quotité saisissable correctement, en s'appuyant sur les circonstances de fait pertinentes à la date d'exécution de la saisie. C'est par la voie de la révision prévue à l'art. 93 LP (et non par la voie de la plainte) que le débiteur doit signaler à l'Office (et non à la Chambre de surveillance) les modifications survenues dans sa situation financière et requérir l'adaptation du montant de la saisie. C'est en effet cette disposition qui vise à adapter l'ampleur de la saisie à des éléments de fait nouveaux par rapport à ceux dont l'Office avait connaissance lors de l'exécution de la saisie. Aussi, le plaignant ne pouvait pas, comme il l'a fait, directement saisir la Chambre de céans en vue d'obtenir la modification requise. La plainte doit donc être rejetée sur ce point. Il appartiendra pour le surplus à l'Office, s'il ne l'a déjà fait, d'élucider ces faits nouveaux et de se prononcer sur une éventuelle révision du montant de la saisie. Sa décision à cet égard pourra alors faire l'objet d'une plainte au sens de l'art. 17 LP, aussi bien de la part du plaignant que des créancières poursuivantes. 3.4.2 Contrairement à ce que soutient le plaignant, il ne fait pas de doute qu'un loyer de 3'833 fr. est disproportionné par rapport à sa situation économique et</w:t>
      </w:r>
    </w:p>
    <w:p>
      <w:r>
        <w:t>- 9/11 -</w:t>
      </w:r>
    </w:p>
    <w:p>
      <w:r>
        <w:t>A/3019/2019-CS personnelle, raison pour laquelle il se justifie de réduire cette dépense dans l'intérêt des créancières poursuivantes. La situation actuelle du poursuivi ne saurait en effet être comparée à celle qui était la sienne lorsque le Tribunal et la Cour ont statué sur son action de non-retour à meilleure fortune. Les époux réalisaient à cette époque un revenu mensuel total de 11'276 fr. par mois, alors qu'il n'est plus que de 9'664 fr. à ce jour, soit une différence de 1'612 fr. qui justifie de revoir ses frais de logement à la baisse. Le délai de six mois imparti au plaignant pour diminuer sa charge de loyer est par ailleurs conforme à la jurisprudence. Partant, c'est à bon droit que l'Office a décidé de prendre en compte le loyer effectif du débiteur jusqu'à l'échéance de ce délai, puis de le ramener à un niveau correspondant aux loyers usuels pratiqués à Genève dès le 1er février 2020. A l'instar de l'Office, la Chambre de céans considère qu'un appartement de 4 pièces est suffisant, compte tenu des principes susrappelés, pour permettre au débiteur et à son épouse de vivre convenablement en conservant la possibilité d'accueillir leurs petits-enfants. A cet égard, le poursuivi ne rend pas vraisemblable qu'il serait dans l'impossibilité de trouver un locataire de remplacement, de sorte que ce grief doit être rejeté. Il ne soutient du reste pas qu'il serait dans l'impossibilité de sous-louer une partie de son appartement de 6 pièces aux fins de réduire ses frais effectifs de logement. D'après le tableau T 05.04.2.02 établi par l'OCSTAT, indiquant le loyer mensuel moyen des logements selon le nombre de pièces, la nature du logement et le statut du bail, le loyer mensuel (loyer libre) d'un appartement de 4 pièces loué à de nouveaux locataires au cours des douze derniers mois est de 1'860 fr. en 2019. En tenant compte des charges, qui peuvent être estimées à 200 fr., le loyer admissible du débiteur s'élève ainsi à 2'060 fr. par mois – et non à 1'659 fr. par mois comme retenu par l'Office. 3.4.3 En conséquence, la plainte sera partiellement admise, en ce sens qu'un loyer mensuel de 2'060 fr. (charges comprises) sera retenu dans le calcul du minimum vital du plaignant dès le 1er février 2020. La plainte sera rejetée pour le surplus.</w:t>
      </w:r>
    </w:p>
    <w:p>
      <w:r>
        <w:rPr>
          <w:b/>
        </w:rPr>
        <w:t>E. 4</w:t>
      </w:r>
    </w:p>
    <w:p>
      <w:r>
        <w:t>La procédure de plainte est gratuite (art. 20a al. 2 ch. 5 LP; art. 61 al. 2 let. a OELP) et ne donne pas lieu à l'allocation de dépens (art. 62 al. 2 OELP). * * * * *</w:t>
      </w:r>
    </w:p>
    <w:p>
      <w:r>
        <w:t>- 10/11 -</w:t>
      </w:r>
    </w:p>
    <w:p>
      <w:r>
        <w:t>A/3019/2019-CS PAR CES MOTIFS, La Chambre de surveillance : A la forme : Déclare recevable la plainte formée le 22 août 2019 par A______ contre le procès- verbal de saisie du 2 août 2019 dans la série n° 2______. Au fond : Annule le procès-verbal de saisie attaqué en tant qu'il réduit les frais de logement admissibles de A______ à 1'659 fr. par mois dès le 1er février 2020. Dit que les frais de logement de A______ seront admis à hauteur de 2'060 fr. par mois dès le 1er février 2020. Confirme le procès-verbal de saisie attaqué pour le surplus. Déboute les parties de toutes autres conclusions. Siégeant : Madame Nathalie RAPP, présidente; Madame Natalie OPPATJA et Monsieur Denis KELLER, juges assesseurs ;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- 11/11 -</w:t>
      </w:r>
    </w:p>
    <w:p>
      <w:r>
        <w:t>A/3019/2019-CS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