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DCSO/548/2018 vom 18. Oktober 2018</w:t>
      </w:r>
    </w:p>
    <w:p>
      <w:r>
        <w:t>GE Cour de justice, 2018-10-18, FR</w:t>
      </w:r>
    </w:p>
    <w:p>
      <w:r>
        <w:rPr>
          <w:b/>
        </w:rPr>
        <w:t xml:space="preserve">Quelle: </w:t>
      </w:r>
      <w:r>
        <w:t>https://mcp.opencaselaw.ch/entscheid/ge_gerichte_DCSO_548_2018</w:t>
      </w:r>
    </w:p>
    <w:p>
      <w:r>
        <w:t>FR: GE_GERICHTE DCSO/548/2018 du 18 octobre 2018</w:t>
      </w:r>
    </w:p>
    <w:p>
      <w:r>
        <w:t>IT: GE_GERICHTE DCSO/548/2018 del 18 ottobre 2018</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 commandement de payer, le refus de l'Office de tenir compte d'une opposition, ou encore pour connaître des demandes de restitution de délai pour des actes devant être accomplis, non auprès de l'autorité judiciaire, mais auprès d'un autre organe de l'exécution forcée, tel que l'Office des poursuites (art. 33 al. 4 LP; DCSO/216/2015 du 13 juillet 2015 consid. 1.1.1; DCSO/732/2006 du 20 décembre 2006 consid. 1).</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CR LP, 2005, n. 25 et 26 ad art. 17 LP; DIETH/WOHL, Kurzkommentar SchKG, 2014,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- 4/7 -</w:t>
      </w:r>
    </w:p>
    <w:p>
      <w:r>
        <w:t>A/4412/2017-CS La plainte doit être motivée (art. 9 al. 2 LaLP; art. 65 al. 2 LPA), en ce sens qu'elle doit comporter une critique intelligible et explicite de la mesure attaquée (ERARD, op. cit., n. 33 ad art. 17 LP).</w:t>
      </w:r>
    </w:p>
    <w:p>
      <w:r>
        <w:rPr>
          <w:b/>
        </w:rPr>
        <w:t>E. 1.2</w:t>
      </w:r>
    </w:p>
    <w:p>
      <w:r>
        <w:t>En l'espèce, la plainte est dirigée contre le commandement de payer notifié le</w:t>
      </w:r>
    </w:p>
    <w:p>
      <w:r>
        <w:rPr>
          <w:b/>
        </w:rPr>
        <w:t>E. 1.3</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112 III 79 consid. 2).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(ATF 117 III 7 consid. 3b; RUEDIN, CR-LP, n. 2 ad art. 72; WÜTHRICH/SCHOCH, BaK SchKG I, n. 11s ad art. 72; STOFFEL/CHABLOZ, Voies d'exécution, § 3 n° 21 ss; KREN-KOSTKIEWICZ, Zustellung von Betreibungs- urkunden, in BlSchK 1996, p. 201 ss, 204; DONZALLAZ, La notification en droit interne suisse, 2002, p. 212 s. n° 378 s.).</w:t>
      </w:r>
    </w:p>
    <w:p>
      <w:r>
        <w:t>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in JT 1994 II 119; 117 III 10 précité consid. 5a; 116 III 8 consid. 1b).</w:t>
      </w:r>
    </w:p>
    <w:p>
      <w:r>
        <w:t>S'agissant des sociétés à responsabilité limitée,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w:t>
      </w:r>
    </w:p>
    <w:p>
      <w:r>
        <w:t>- 5/7 -</w:t>
      </w:r>
    </w:p>
    <w:p>
      <w:r>
        <w:t>A/4412/2017-CS signature individuel (ATF 134 III 112 consid. 3.1, in JT 2008 II 75; JAQUES, De la notification des actes de poursuite, in BlSchK 2011, pp. 177 ss., § 4.3).</w:t>
      </w:r>
    </w:p>
    <w:p>
      <w:r>
        <w:t>A titre subsidiaire, en cas d'échec de la tentative de notification à l'une des personnes mentionnées à l'art. 65 al. 1 ch. 2 LP, l'acte de poursuite peut être notifié à un employé de la débitrice se trouvant dans les locaux de cette dernière (art. 65 al. 2 LP; ATF 117 III 10 consid. 5a). Par employé, il faut entendre toute personne au service de la débitrice et qui lui est subordonnée, même si elle déploie son activité à titre bénévole (JEANNERET/LEMBO, CR LP, N 25 ad art. 64 LP).</w:t>
      </w:r>
    </w:p>
    <w:p>
      <w:r>
        <w:t>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110 consid. 5d).</w:t>
      </w:r>
    </w:p>
    <w:p>
      <w:r>
        <w:t>2.2 Lorsque l'acte de poursuite n'est pas parvenu à la connaissance du débiteur, la notification qui n'aurait pas été effectuée selon les règles imposées par les art. 64 à 66 LP est frappée de nullité, laquelle doit être constatée d'office et en tout temps par l'autorité de surveillance. Cependant, si le débiteur a eu connaissance de l'acte de poursuite ou de son contenu essentiel - étant rappelé que le fardeau de la preuve de cette connaissance échoit à l'Office - en dépit de la notification viciée, cette dernière n'est pas nulle mais seulement annulable, moyennant plainte à l'autorité de surveillance dans les dix jours suivant la prise de connaissance de l'acte, à défaut de quoi il est forclos à se prévaloir du vice de forme (JEANNERET/LEMBO, CR-LP, 2005, n. 33-34 ad art. 64 LP et les réf. citées).</w:t>
      </w:r>
    </w:p>
    <w:p>
      <w:r>
        <w:t>2.3 En l'espèce, la notification du commandement de payer s'est déroulée dans les bureaux de la débitrice. Dès lors qu'il est établi que l'unique gérant était absent à ce moment-là – en raison de son incarcération – c'est à juste titre que l'agent notificateur a remis l'acte à une personne de remplacement prévue par l'art.65 al. 2 LP. La qualité d'employée de D______ doit à cet égard être admise, quand bien même elle indique ne pas avoir été formellement liée à la débitrice par un contrat de travail et avoir déployé son activité à titre temporaire pour pallier à l'absence de son frère. Il résulte en effet de ses explications qu'elle était en communication avec ce dernier, unique gérant de la débitrice, qui lui avait conféré une procuration aux fins de gérer les affaires de la société.</w:t>
      </w:r>
    </w:p>
    <w:p>
      <w:r>
        <w:t>La notification intervenue le 6 juillet 2017 est donc valable, de telle sorte que la plainte doit être rejetée. 3. Tout en contestant à titre principal la validité de la notification, la plaignante paraît solliciter à titre subsidiaire la restitution du délai pour former opposition. 3.1 Selon l'art. 33 al. 4 LP, quiconque a été empêché sans sa faute d'agir dans le délai fixé peut demander à l'autorité de surveillance qu'elle lui restitue ce délai. L'intéressé doit, à compter de la fin de l'empêchement, déposer une requête</w:t>
      </w:r>
    </w:p>
    <w:p>
      <w:r>
        <w:t>- 6/7 -</w:t>
      </w:r>
    </w:p>
    <w:p>
      <w:r>
        <w:t>A/4412/2017-CS motivée dans un délai égal au délai échu et accomplir auprès de l'autorité compétente l'acte juridique omis (GILLIERON, Poursuite pour dettes, faillite et concordat, 4ème éd., n. 707). Cette disposition est applicable à la restitution du délai de dix jours pour former opposition à un commandement de payer (art. 74 al. 1 LP; JAEGER/WALDER/KULL/KOTTMANN, SchKG, n. 18 ad art. 33). La restitution du délai est ainsi soumise à trois conditions subjectives, à savoir (i) l'accomplissement de l'acte omis dans le délai prévu par l'art. 33 al. 4 LP, (ii) le dépôt, dans le même délai, auprès de l'autorité de surveillance, d'une requête de restitution motivée et (iii) l'existence d'un empêchement non fautif (ERARD, CR-LP, n. 19 ss ad art. 33). Concernant la troisième condition, entrent en ligne de compte non seulement l'impossibilité objective ou la force majeure, mais aussi l'impossibilité due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(GILLIERON, Commentaire LP, n. 40 ad art. 33; arrêt du Tribunal fédéral 5A_896/2012 du 10 janvier 2013 consid. 3.2).</w:t>
      </w:r>
    </w:p>
    <w:p>
      <w:r>
        <w:t>3.2 En l'espèce, le seul empêchement non fautif invoqué par la plaignante consiste dans l'absence alléguée de notification du commandement de payer. L'instruction de la cause a toutefois établi que cet acte avait été valablement notifié à une employée – au sens de l'art. 65 al. 2 LP – de la débitrice, à laquelle il incombait de la communiquer à l'unique organe de cette dernière. Le fait qu'elle ait omis de le faire relève d'une carence organisationnelle de la débitrice et non d'un empêchement non fautif au sens de l'art. 33 al. 4 LP, avec pour conséquence que la demande de restitution du délai pour former opposition doit elle aussi être rejetée. 4. La procédure de plainte est gratuite (art. 20a al. 2 ch. 5 LP et art. 61 al. 2 let. a OELP) et il ne peut être alloué aucuns dépens dans cette procédure (art. 62 al. 2 OELP). * * * * *</w:t>
      </w:r>
    </w:p>
    <w:p>
      <w:r>
        <w:t>- 7/7 -</w:t>
      </w:r>
    </w:p>
    <w:p>
      <w:r>
        <w:t>A/4412/2017-CS PAR CES MOTIFS, La Chambre de surveillance : A la forme : Déclare recevables les plainte et demande de restitution du délai pour former opposition formées le 4 novembre 2017 par A______ contre le commandement de payer notifié le</w:t>
      </w:r>
    </w:p>
    <w:p>
      <w:r>
        <w:rPr>
          <w:b/>
        </w:rPr>
        <w:t>E. 6</w:t>
      </w:r>
    </w:p>
    <w:p>
      <w:r>
        <w:t>juillet 2017 dans le cadre de la poursuite no 1______. Au fond : Rejette la plainte. Rejette la demande de restitution de délai. Siégeant : Monsieur Patrick CHENAUX, président; Monsieur Michel BERTSCHY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