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DCSO/53/2024 vom 15. Februar 2024</w:t>
      </w:r>
    </w:p>
    <w:p>
      <w:r>
        <w:t>GE Cour de justice, 2024-02-15, FR</w:t>
      </w:r>
    </w:p>
    <w:p>
      <w:r>
        <w:rPr>
          <w:b/>
        </w:rPr>
        <w:t xml:space="preserve">Quelle: </w:t>
      </w:r>
      <w:r>
        <w:t>https://mcp.opencaselaw.ch/entscheid/ge_gerichte_DCSO_53_2024</w:t>
      </w:r>
    </w:p>
    <w:p>
      <w:r>
        <w:t>FR: GE_GERICHTE DCSO/53/2024 du 15 février 2024</w:t>
      </w:r>
    </w:p>
    <w:p>
      <w:r>
        <w:t>IT: GE_GERICHTE DCSO/53/2024 del 15 febbraio 2024</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Lorsque le débiteur entend se plaindre d'une saisie prétendument contraire aux art. 92 et 93 LP,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C'est sous la réserve d'une saisie portant une atteinte flagrante au minimum vital du débiteur et de ses proches ou si la mise sous mains de justice met le poursuivi ou ses proches dans une situation absolument intolérable, les privant des objets indispensables au vivre et au coucher, laquelle est nulle au sens de l'art. 22 al. 1 LP (ATF 117 III 39; 114 III 78 consid. 3; décisions de la Chambre de surveillance DCSO/180/2018 du 15 mars 2018; DCSO/394/2015 du 17 décembre 2015; DCSO/513/2007 du 8 novembre 2007).</w:t>
      </w:r>
    </w:p>
    <w:p>
      <w:r>
        <w:t>L'avis au sens de l'art. 99 LP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Il suppose une saisie valablement exécutée et ne constitue pas une saisie en tant que tel dont il n'est que l'acte d'exécution. A ce titre, il n'est pas une mesure au sens de l'art. 17 LP et n'ouvre pas la voie de la plainte. En revanche, si l'avis de saisie est adressé au tiers</w:t>
      </w:r>
    </w:p>
    <w:p>
      <w:r>
        <w:t>- 6/9 -</w:t>
      </w:r>
    </w:p>
    <w:p>
      <w:r>
        <w:t>A/2507/2023-CS détenteur ou débiteur de créances avant l'exécution formelle de la saisie, il devient une mesure conservatoire destinée à préserver les actifs du débiteur saisi; sa nature de décision provisionnelle ouvre la voie à la plainte (ATF 142 III 643 consid. 2 et 3).</w:t>
      </w:r>
    </w:p>
    <w:p>
      <w:r>
        <w:rPr>
          <w:b/>
        </w:rPr>
        <w:t>E. 1.2</w:t>
      </w:r>
    </w:p>
    <w:p>
      <w:r>
        <w:t>En l'espèce, la plaignante a attaqué les avis de saisie qui lui ont été notifiés les 10 et 27 juillet 2023. La recevabilité de la plainte, vraisemblablement prématurée, est par conséquent discutable. La question souffre toutefois de rester ouverte, l'enjeu de la plainte étant une atteinte au minimum vital conduisant à la nullité de la mesure attaquée, invocable en tout temps, si une telle atteinte devait être avérée. En outre, l'Office ne s'oppose pas formellement à la recevabilité de la plainte et le procès-verbal de saisie a été établi depuis lors de sorte que la Chambre de céans est en mesure de statuer sur une mesure en bonne et due forme.</w:t>
      </w:r>
    </w:p>
    <w:p>
      <w:r>
        <w:rPr>
          <w:b/>
        </w:rPr>
        <w:t>E. 2.1</w:t>
      </w:r>
    </w:p>
    <w:p>
      <w:r>
        <w:t>En cas de plainte, l'office peut procéder à un nouvel examen de la décision attaquée et la modifier jusqu’à l’envoi à l'autorité de surveillance de sa réponse à la plainte; si l'office prend une nouvelle mesure, il la notifie sans délai aux parties et en donne connaissance à l’autorité de surveillance (art. 17 al. 4 LP). 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 (ATF 126 III 85, SJ 2000 I 449; ERARD, Commentaire Romand, Poursuite et faillite, 2005, n° 60, 61, 64 à 66 ad art. 17 LP).</w:t>
      </w:r>
    </w:p>
    <w:p>
      <w:r>
        <w:rPr>
          <w:b/>
        </w:rPr>
        <w:t>E. 2.2</w:t>
      </w:r>
    </w:p>
    <w:p>
      <w:r>
        <w:t>En l'occurrence, l'Office a rendu une nouvelle décision dans le délai fixé pour ses observations. Si elle fait droit à la majeure partie des griefs de la plaignante – griefs peu développés au demeurant – il est douteux qu'elle la satisfasse s'agissant des frais de logement, que l'Office ne retient pas dans les charges de la famille. Il convient donc d'examiner encore la saisie effectuée par l'Office sous cet angle, seul point qu'il y a lieu de considérer comme encore litigieux.</w:t>
      </w:r>
    </w:p>
    <w:p>
      <w:r>
        <w:rPr>
          <w:b/>
        </w:rPr>
        <w:t>E. 3</w:t>
      </w:r>
    </w:p>
    <w:p>
      <w:r>
        <w:t>3.1.1 Selon l'art. 93 al. 1 LP, les revenus relativement saisissables tels que les revenus du travail ne peuvent être saisis que déduction faite de ce que le préposé estime indispensable au débiteur et à sa famille (minimum vital).</w:t>
      </w:r>
    </w:p>
    <w:p>
      <w:r>
        <w:t>3.1.2 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w:t>
      </w:r>
    </w:p>
    <w:p>
      <w:r>
        <w:t>- 7/9 -</w:t>
      </w:r>
    </w:p>
    <w:p>
      <w:r>
        <w:t>A/2507/2023-CS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w:t>
      </w:r>
    </w:p>
    <w:p>
      <w:r>
        <w:t>Les revenus pris en considération sont les revenus réels du débiteur. L'Office ne peut en effet fixer le montant saisissable en se fondant sur un revenu hypothétique (ATF 115 III 103 consid. 1.c = JdT 1991 II 108; arrêt du Tribunal fédéral 5A_490/2012 du 23 novembre 2012 consid. 3; KREN KOSTKIEWICZ, in KUKO SchKG, n° 17 ad art. 93 LP). 3.1.3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couple marié, deux personnes vivant en partenariat enregistré ou un couple avec enfants il s'élève à 1'700 fr. (art. 1 NI), sous déduction des allocations familiales (OCHSNER, op. cit., p. 132). D'autres charges indispensables, comme les frais de logement (art. II.1 et II.3 NI), les primes d'assurance-maladie obligatoire (art. II.3 NI), doivent être ajoutées à cette base mensuelle d'entretien, pour autant qu'elles soient effectivement payées (OCHSNER, Commentaire Romand, Poursuite et faillite, 2005, n° 82 ad art. 93 LP). Les impôts ne sont pas pris en compte dans le calcul du minimum vital (art. III NI et jurisprudence citée).</w:t>
      </w:r>
    </w:p>
    <w:p>
      <w:r>
        <w:t>Les frais de logements effectifs sont retenus, soit le loyer et les charges pour les locataires. Toutefois,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w:t>
      </w:r>
    </w:p>
    <w:p>
      <w:r>
        <w:t>- 8/9 -</w:t>
      </w:r>
    </w:p>
    <w:p>
      <w:r>
        <w:t>A/2507/2023-CS du débiteur et aux loyers usuels du lieu (arrêt du Tribunal fédéral 5A_912/2018 du 16 janvier 2019 consid. 3.1.2 et les références citées; OCHSNER, Le minimum vital, op. cit., p. 134 et 135).</w:t>
      </w:r>
    </w:p>
    <w:p>
      <w:r>
        <w:rPr>
          <w:b/>
        </w:rPr>
        <w:t>E. 3.2</w:t>
      </w:r>
    </w:p>
    <w:p>
      <w:r>
        <w:t>En l'espèce, le seul point encore litigieux après la nouvelle décision rendue par l'Office consiste dans les frais de logement de la famille que l'Office ne retient pas dans le minimum vital, au motif qu'ils sont assumés par des proches de la plaignante et de son concubin. Le raisonnement conduit par l'Office à cet égard ne prête pas le flanc à la critique. En effet, la plaignante n'affirme pas, ni ne justifie qu'elle-même ou son concubin assumeraient personnellement cette charge. Ils en seraient d'ailleurs bien incapables au vu des indemnités journalières qu'elle perçoit et de l'absence de revenu de son concubin. Force est ainsi de constater que ces charges sont soit impayées, soit réglées par des tiers, ce qui exclut qu'elles figurent dans le calcul du minimum vital de la plaignante et de son concubin.</w:t>
      </w:r>
    </w:p>
    <w:p>
      <w:r>
        <w:t>Il est au demeurant discutable au vu des principes rappelés ci-dessus que des charges de logement aussi élevées soient admissibles au vu de la situation de la plaignante et de son concubin.</w:t>
      </w:r>
    </w:p>
    <w:p>
      <w:r>
        <w:t>En définitive, la nouvelle décision rendue par l'Office est conforme au droit la plainte sera rejetée sur le point encore litigieux.</w:t>
      </w:r>
    </w:p>
    <w:p>
      <w:r>
        <w:rPr>
          <w:b/>
        </w:rPr>
        <w:t>E. 4</w:t>
      </w:r>
    </w:p>
    <w:p>
      <w:r>
        <w:t>La procédure devant l'autorité de surveillance est gratuite (art. 20a al. 2 ch. 5 LP; art. 61 al. 2 let. a OELP) et ne donne pas lieu à l'allocation de dépens (art. 62 al. 2 OELP). * * * * *</w:t>
      </w:r>
    </w:p>
    <w:p>
      <w:r>
        <w:t>- 9/9 -</w:t>
      </w:r>
    </w:p>
    <w:p>
      <w:r>
        <w:t>A/2507/2023-CS PAR CES MOTIFS, La Chambre de surveillance :</w:t>
      </w:r>
    </w:p>
    <w:p>
      <w:r>
        <w:t>A la forme : Déclare recevable la plainte déposée le 3 août 2023 par A______ contre les avis de saisie des 10 et 27 juillet 2023, série n° 2______. Au fond : La rejette dans la mesure où elle a encore un objet. Siégeant : Monsieur Jean REYMOND, président; Madame Natalie OPPATJA et Monsieur Denis KELLER,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