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DCSO/53/2016 vom 4. Februar 2016</w:t>
      </w:r>
    </w:p>
    <w:p>
      <w:r>
        <w:t>GE Cour de justice, 2016-02-04, FR</w:t>
      </w:r>
    </w:p>
    <w:p>
      <w:r>
        <w:rPr>
          <w:b/>
        </w:rPr>
        <w:t xml:space="preserve">Quelle: </w:t>
      </w:r>
      <w:r>
        <w:t>https://mcp.opencaselaw.ch/entscheid/ge_gerichte_DCSO_53_2016</w:t>
      </w:r>
    </w:p>
    <w:p>
      <w:r>
        <w:t>FR: GE_GERICHTE DCSO/53/2016 du 4 février 2016</w:t>
      </w:r>
    </w:p>
    <w:p>
      <w:r>
        <w:t>IT: GE_GERICHTE DCSO/53/2016 del 4 febbraio 2016</w:t>
      </w:r>
    </w:p>
    <w:p>
      <w:pPr>
        <w:pStyle w:val="Heading2"/>
      </w:pPr>
      <w:r>
        <w:t>Regeste</w:t>
      </w:r>
    </w:p>
    <w:p>
      <w:r>
        <w:t>Résumé: Recours au TF interjeté le 7 avril 2016 par le débiteur, déclaré irrecevable par arrêt du 11 avril 2016 (5A_258/2016).</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2.1</w:t>
      </w:r>
    </w:p>
    <w:p>
      <w:r>
        <w:t>La plainte contre une mesure de l'Office doit être déposée dans les dix jours suivant celui où le plaignant a eu connaissance de la décision attaquée (art. 17 al. 2 LP).</w:t>
      </w:r>
    </w:p>
    <w:p>
      <w:r>
        <w:t>Conformément à la jurisprudence de la Chambre de surveillance (DCSO/356/12 consid. 2.4; DCSO/32/12 consid. 3.2; DCSO/442/09 consid. 3b; DCSO/86/09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w:t>
      </w:r>
    </w:p>
    <w:p>
      <w:r>
        <w:t>Ainsi, le délai de plainte contre une saisie ne commence-t-il, en définitive, à courir qu’à réception du procès-verbal de saisie (OCHSNER, in CR-LP, 2005, ad art. 93 n. 186).</w:t>
      </w:r>
    </w:p>
    <w:p>
      <w:r>
        <w:rPr>
          <w:b/>
        </w:rPr>
        <w:t>E. 2.2</w:t>
      </w:r>
    </w:p>
    <w:p>
      <w:r>
        <w:t>En l'espèce, le procès-verbal de saisie n'a pas encore été notifié au débiteur plaignant dans le cadre de la poursuite en cause, de sorte que le délai de plainte n'a</w:t>
      </w:r>
    </w:p>
    <w:p>
      <w:r>
        <w:t>- 5/8 -</w:t>
      </w:r>
    </w:p>
    <w:p>
      <w:r>
        <w:t>A/3639/2015-CS pas encore commencé à courir et que la présente plainte contre l'avis de saisie critiqué du 22 octobre 2014 n'est pas formée hors délai.</w:t>
      </w:r>
    </w:p>
    <w:p>
      <w:r>
        <w:rPr>
          <w:b/>
        </w:rPr>
        <w:t>E. 3</w:t>
      </w:r>
    </w:p>
    <w:p>
      <w:r>
        <w:t>La présente plainte est, en outre, conforme aux exigences de formes prescrites par les art. 20a al. 3 LP et 9 al. 4 LaLP et le débiteur poursuivi a la qualité pour agir par cette voie dans le cadre de la poursuite n° 13 xxxx40 H .</w:t>
      </w:r>
    </w:p>
    <w:p>
      <w:r>
        <w:t>Cette plainte sera dès lors déclarée recevable à la forme.</w:t>
      </w:r>
    </w:p>
    <w:p>
      <w:r>
        <w:rPr>
          <w:b/>
        </w:rPr>
        <w:t>E. 4</w:t>
      </w:r>
    </w:p>
    <w:p>
      <w:r>
        <w:t>Le plaignant y fait d'abord grief à la Chambre de surveillance de lui avoir notifié en temps inopportun sa précédente décision DCSO/88/15, prononcée le 26 février 2015 et rejetant sa plainte contre un premier avis de saisie. Il avait en effet été malade jusqu’au 14 avril 2014, ce qui l’avait privé de son droit de recours contre cette décision devant le Tribunal fédéral. Or, ce délai de recours n'a commencé à s'écouler qu'à réception de cette décision par le plaignant, soit lorsqu'elle a été retiré au guichet postal le 23 mars 2015 par ce dernier ou par son représentant habilité à le faire. Que le plaignant ait été encore malade à cette date n'est pas relevant, dès lors que les parties peuvent se faire représenter par un avocat devant le Tribunal fédéral si elles ne peuvent plaider en personne. Ce premier grief du plaignant est dès lors infondé, de sorte qu'il n'y a pas lieu de procéder à une nouvelle notification de la précédente décision de la Chambre de surveillance DCSO/88/15.</w:t>
      </w:r>
    </w:p>
    <w:p>
      <w:r>
        <w:rPr>
          <w:b/>
        </w:rPr>
        <w:t>E. 5</w:t>
      </w:r>
    </w:p>
    <w:p>
      <w:r>
        <w:t>Le plaignant fait par ailleurs valoir dans sa présente plainte qu'il ne serait pas le débiteur de la créance poursuivie, la poursuite fondant l'avis de saisie présentement querellée étant, de surcroît, abusive car tous les tribunaux saisis s'étaient prononcés uniquement sur les prétentions de la banque à son encontre au mépris des siennes et de tous ses droits fondamentaux.</w:t>
      </w:r>
    </w:p>
    <w:p>
      <w:r>
        <w:rPr>
          <w:b/>
        </w:rPr>
        <w:t>E. 5.1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w:t>
      </w:r>
    </w:p>
    <w:p>
      <w:r>
        <w:t>- 6/8 -</w:t>
      </w:r>
    </w:p>
    <w:p>
      <w:r>
        <w:t>A/3639/2015-CS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JdT 1989 II 121; ATF 112 III 47 consid. 1, JdT 1988 II 145; SJ 1987 p. 156). 5.2.1 En l'espèce, il n'y a pas de place pour l'abus de droit dans le cadre de la poursuite n° 13 xxxx40 H.</w:t>
      </w:r>
    </w:p>
    <w:p>
      <w:r>
        <w:t>En effet, le plaignant a valablement formé opposition, comme il en avait le droit, à l'encontre de cette poursuite fondant l'avis de saisie présentement critiquée et il a, ce faisant, exercé l'un de ses droits fondamentaux en matière de droit des poursuites.</w:t>
      </w:r>
    </w:p>
    <w:p>
      <w:r>
        <w:t>La créancière poursuivante ayant toutefois requis cette poursuite n° 13 xxxx40 H en se fondant sur le prononcé par la Cour de justice d'un arrêt ACJC/160/2010, devenu définitif et exécutoire, qui reconnaissait les droits de la banque créancière à l'encontre du plaignant, le Tribunal de première instance a prononcé, le 28 avril 2014, la mainlevée définitive de l'opposition du plaignant, après avoir examiné ses griefs à cet égard.</w:t>
      </w:r>
    </w:p>
    <w:p>
      <w:r>
        <w:t>Ce jugement a, derechef, fait l'objet d'un recours, formé par ledit plaignant devant la Cour de justice, laquelle l'a déclaré irrecevable par arrêt ACJC/1295/2014.</w:t>
      </w:r>
    </w:p>
    <w:p>
      <w:r>
        <w:t>Enfin, la présente Chambre de surveillance a également admis la validité d'un précédent avis de saisie fondé sur cette poursuite n° 13 xxxx40 H (DCSO/88/15).</w:t>
      </w:r>
    </w:p>
    <w:p>
      <w:r>
        <w:t>Il découle dès lors de l'ensemble de ce qui précède que les griefs formulés par le plaignant à l'encontre de la poursuite n° 13 xxxx40 H ont déjà été abondamment examinés, pour être ensuite rejetés, cela par les juridictions civiles de première instance et d'appel, puis par la Chambre de surveillance.</w:t>
      </w:r>
    </w:p>
    <w:p>
      <w:r>
        <w:t>Cette poursuite, ayant donné lieu à l'avis de saisie présentement querellé, ne saurait dès lors être qualifiée d'abusive.</w:t>
      </w:r>
    </w:p>
    <w:p>
      <w:r>
        <w:t>5.2.2 En outre, le plaignant conteste à nouveau, cette fois devant la présente Chambre de surveillance, l'existence même de la créance fondant cette poursuite n° 13 xxxx40 H et ayant donné lieu à l'avis de saisie critiqué du 22 octobre 2015.</w:t>
      </w:r>
    </w:p>
    <w:p>
      <w:r>
        <w:t>- 7/8 -</w:t>
      </w:r>
    </w:p>
    <w:p>
      <w:r>
        <w:t>A/3639/2015-CS Cette question échappe toutefois à la compétence de la Chambre de surveillance, au vu des principes rappelés ci-dessus sous ch. 5.1, de sorte que la présente plainte doit être déclarée irrecevable.</w:t>
      </w:r>
    </w:p>
    <w:p>
      <w:r>
        <w:rPr>
          <w:b/>
        </w:rPr>
        <w:t>E. 5.3</w:t>
      </w:r>
    </w:p>
    <w:p>
      <w:r>
        <w:t>Il sera encore observé qu'un débiteur poursuivi, dont l'opposition à une poursuite a été rejetée, peut encore, par le biais des actions en annulation de cette poursuite (art. 85 et 85a LP), voire en répétition de l'indu (art. 86 LP), faire reconnaître par le juge civil, s'il s'estime fondé, l'inexistence totale ou partielle de la dette faisant l'objet de la poursuite critiquée.</w:t>
      </w:r>
    </w:p>
    <w:p>
      <w:r>
        <w:rPr>
          <w:b/>
        </w:rPr>
        <w:t>E. 6</w:t>
      </w:r>
    </w:p>
    <w:p>
      <w:r>
        <w:t>Il n'est pas perçu de dépens (art. 62 al. OELP). * * * * *</w:t>
      </w:r>
    </w:p>
    <w:p>
      <w:r>
        <w:t>- 8/8 -</w:t>
      </w:r>
    </w:p>
    <w:p>
      <w:r>
        <w:t>A/3639/2015-CS</w:t>
      </w:r>
    </w:p>
    <w:p>
      <w:r>
        <w:t>PAR CES MOTIFS, La Chambre de surveillance : Déclare irrecevable la plainte formée le 18 octobre 2015 par M. B______ contre l'avis de saisie établi à son encontre et transmis par l'Office des poursuites à la Caisse de prévoyance de l'Etat de Genève le 22 octobre 2015. Siégeant : Madame Valérie LAEMMEL-JUILLARD, présidente; Madame Natalie OPPATJA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