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DCSO/523/2022 vom 15. Dezember 2022</w:t>
      </w:r>
    </w:p>
    <w:p>
      <w:r>
        <w:t>GE Cour de justice, 2022-12-15, FR</w:t>
      </w:r>
    </w:p>
    <w:p>
      <w:r>
        <w:rPr>
          <w:b/>
        </w:rPr>
        <w:t xml:space="preserve">Quelle: </w:t>
      </w:r>
      <w:r>
        <w:t>https://mcp.opencaselaw.ch/entscheid/ge_gerichte_DCSO_523_2022</w:t>
      </w:r>
    </w:p>
    <w:p>
      <w:r>
        <w:t>FR: GE_GERICHTE DCSO/523/2022 du 15 décembre 2022</w:t>
      </w:r>
    </w:p>
    <w:p>
      <w:r>
        <w:t>IT: GE_GERICHTE DCSO/523/2022 del 15 dicembre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La décision entreprise refuse d'entrer en matière en l'état sur la demande de la plaignante d'acquérir la part de copropriété de son mari sur la villa familiale par compensation essentiellement au motif qu'elle n'est pas la seule créancière poursuivante et que la poursuite concurrente de D______ est en réalisation de gage, ce qui lui confère la priorité. La plaignante rétorque à cela qu'il n'y a pas lieu de tenir compte de la poursuite en réalisation de gage de sa fille qui est abusive et nulle.</w:t>
      </w:r>
    </w:p>
    <w:p>
      <w:r>
        <w:t>2.1.1 L'adjudicataire, lorsqu'il s'agit du créancier poursuivant, ne peut compenser le prix de l'adjudication avec la créance qu'il détient contre le poursuivi. Le poursuivi n'est pas titulaire de la créance du prix d'adjudication. Celui-ci est dû à l'office qui s'en servira pour prélever les frais de réalisation et de distribution et pour payer les poursuivants saisissants de la série où la réalisation a été requise et faite (art. 144 al. 3 et 4 LP). Tout au plus peut-on admettre que l'adjudicataire ne verse pas le prix de vente lorsqu'il est le seul créancier poursuivant (ou qu'il bénéficie, vis-à-vis des autres poursuivants, d'un droit préférable au produit de la réalisation selon l'art. 110 LP) et que le paiement en mains de l'Office pour s'acquitter du prix de l'adjudication lui donne immédiatement le droit de réclamer le versement de ces espèces en couverture de sa créance, espèces que l'Office doit lui distribuer en application de l'art. 144 LP. C'est dans cette seule mesure que l'on peut improprement parler d'une compensation. Le créancier enchérisseur doit du reste, même dans une telle situation, verser la somme correspondant aux frais. Ceux-ci sont en effet prélevés par l'Office en vertu de l'art. 144 al. 3 LP, et c'est le produit net qui doit être distribué, soit reversé au créancier lorsque celui-ci a seul un droit préférable à la distribution (ATF 111 III 56 consid. 2; 79 III 22ss).</w:t>
      </w:r>
    </w:p>
    <w:p>
      <w:r>
        <w:t>Sur la base de cette jurisprudence s'est développée une pratique consistant à admettre une compensation "improprement dite" lorsque l'acquéreur du bien</w:t>
      </w:r>
    </w:p>
    <w:p>
      <w:r>
        <w:t>- 6/9 -</w:t>
      </w:r>
    </w:p>
    <w:p>
      <w:r>
        <w:t>A/820/2022-CS réalisé est également le créancier poursuivant bénéficiaire de la distribution des deniers. Elle fait l'objet de deux conditions : le créancier acquéreur est le seul créancier ou dispose d'un privilège sur le produit de réalisation ; le créancier acquéreur doit en outre payer les frais de procédure prélevés par l'Office (MARCHAND, La compensation dans la procédure de poursuite, in JdT 2012 II 61, p. 76).</w:t>
      </w:r>
    </w:p>
    <w:p>
      <w:r>
        <w:t>2.1.2 A teneur de l'art. 73f al. 2 ORFI relatif à la réalisation des parts de copropriété, si, avant la vente de la part, une poursuite en réalisation de gage immobilier ayant pour objet l'immeuble entier est introduite, la priorité doit être donnée à cette poursuite.</w:t>
      </w:r>
    </w:p>
    <w:p>
      <w:r>
        <w:t>2.1.3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w:t>
      </w:r>
    </w:p>
    <w:p>
      <w:r>
        <w:t>- 7/9 -</w:t>
      </w:r>
    </w:p>
    <w:p>
      <w:r>
        <w:t>A/820/2022-CS dette, l'annulation de la poursuite, l'action en constatation de l'inexistence de la dette ou l'action en répétition de l'indu.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128 III 383).</w:t>
      </w:r>
    </w:p>
    <w:p>
      <w:r>
        <w:t>2.2.1 En l'espèce, il existe plusieurs poursuites visant la réalisation de la villa des époux A______/B______ : d'une part, les poursuites ordinaires intentées par la plaignante, dont la poursuite litigieuse 12______, qui sont parvenues au stade de la réquisition de vente de la part de copropriété de B______ saisie; d'autre part, la poursuite en réalisation de gage intentée par D______, parvenue au stade de la mainlevée de l'opposition, qui tend à la réalisation de l'entier du bien immobilier gagé.</w:t>
      </w:r>
    </w:p>
    <w:p>
      <w:r>
        <w:t>Il découle de la jurisprudence du Tribunal fédéral susmentionnée que la compensation en cas d'acquisition du bien réalisé par le créancier poursuivant est exclue en l'espèce puisqu'il y a deux créanciers dont les poursuites aboutiront à la réalisation du bien immobilier saisi. De surcroît, la créancière D______ poursuit la réalisation de son prétendu gage sur l'entier du bien, alors que la plaignante est poursuivante ordinaire et la saisie en sa faveur est limitée à la part de copropriété de son mari; la poursuite de cette dernière n'est donc pas prioritaire en application de l'art. 73f al. 2 ORFI. Le fait que deux créancières poursuivent la réalisation du même bien et la priorité concédée à la poursuite de D______ impliquent que la plaignante n'aura pas la possibilité de requérir l'acquisition de la part de copropriété de son mari par compensation. La décision entreprise de l'Office est par conséquent fondée.</w:t>
      </w:r>
    </w:p>
    <w:p>
      <w:r>
        <w:t>2.2.2 La plaignante soutient toutefois que la poursuite intentée par D______ était fondée sur une créance imaginaire et qu'il ne fallait pas en tenir compte, ce qui revient à soutenir sa nullité en raison de son caractère abusif.</w:t>
      </w:r>
    </w:p>
    <w:p>
      <w:r>
        <w:t>- 8/9 -</w:t>
      </w:r>
    </w:p>
    <w:p>
      <w:r>
        <w:t>A/820/2022-CS</w:t>
      </w:r>
    </w:p>
    <w:p>
      <w:r>
        <w:t>La Chambre de surveillance a déjà eu l'occasion de se prononcer sur cette question dans le cadre des décisions DCSO/51/22 du 3 février 2022 et DCSO/109 du 17 mars 2022 rendues sur plainte de A______ contre les deux poursuites intentées contre elle par sa fille en constatation de leur nullité en raison de leur caractère abusif. La Chambre a rejeté les deux plaintes en application des principes rappelés ci-dessus.</w:t>
      </w:r>
    </w:p>
    <w:p>
      <w:r>
        <w:t>Il n'y a pas de raison de statuer différemment dans le cadre de la présente plainte puisque D______ a poursuivi le processus d'exécution forcée en déposant requête de mainlevée, dont l'instruction est en cours. La prétendue créancière ne multiplie pas les poursuites, tout en les abandonnant après la notification du commandement de payer dans le seul but de nuire. Il est vrai qu'elle a renoncé à la première poursuite sans agir en reconnaissance de dette suite au rejet de sa requête de mainlevée provisoire par le Tribunal. Cette première poursuite est désormais périmée et ne pourrait être continuée. Le fait d'avoir repris une nouvelle poursuite à son début suite à cet échec n'est ainsi pas abusif, à ce stade, dans la mesure où, cette fois-ci, en cas d'échec de la requête en mainlevée, D______ ne laisse pas la poursuite se périmer, mais agit en reconnaissance de dette afin de faire annuler l'opposition formée au commandement de payer et d'avancer dans le processus d'exécution forcée. En revanche, dans le cas inverse, la question se posera de démarches abusives, dont le but serait uniquement d'empêcher l'avancement de la poursuite de la plaignante afin qu'elle ne parvienne pas au stade de la réalisation et de la distribution des deniers. La Chambre de surveillance a d'ailleurs déjà averti D______, dans le cadre de sa décision DCSO/109/22, du risque de voir sa poursuite qualifiée d'abusive et déclarée nulle si elle n'agissait pas sérieusement en vue d'obtenir la mainlevée de l'opposition. Il s'agit toutefois de circonstances futures hypothétiques dont il ne peut être tenu compte à ce stade.</w:t>
      </w:r>
    </w:p>
    <w:p>
      <w:r>
        <w:t>Par ailleurs, le fait que la plaignante adresse à la poursuite litigieuse des griefs qui ne sont pas a priori voués à l'échec n'est pas encore suffisant pour qualifier la poursuite d'abusive au vu des conditions très restrictives d'admission de l'abus décrites ci-dessus.</w:t>
      </w:r>
    </w:p>
    <w:p>
      <w:r>
        <w:t>Il découle de ce qui précède que la poursuite de D______ n'est pas abusive. L'Office ne peut en faire abstraction et ne peut donc entrer en matière sur la demande de la plaignante de se voir attribuer la part de copropriété de son mari par compensation. Sa décision du 28 février 2022 reste ainsi pleinement justifiée et la plainte sera rejetée.</w:t>
      </w:r>
    </w:p>
    <w:p>
      <w:r>
        <w:rPr>
          <w:b/>
        </w:rPr>
        <w:t>E. 3</w:t>
      </w:r>
    </w:p>
    <w:p>
      <w:r>
        <w:t>La procédure de plainte est gratuite (art. 20a al. 2 ch. 5 LP; art. 61 al. 2 let. a OELP) et ne donne pas lieu à l'allocation de dépens (art. 62 al. 2 OELP). * * * * *</w:t>
      </w:r>
    </w:p>
    <w:p>
      <w:r>
        <w:t>- 9/9 -</w:t>
      </w:r>
    </w:p>
    <w:p>
      <w:r>
        <w:t>A/820/2022-CS PAR CES MOTIFS, La Chambre de surveillance :</w:t>
      </w:r>
    </w:p>
    <w:p>
      <w:r>
        <w:t>A la forme : Déclare recevable la plainte du 11 mars 2022 de A______ contre la décision rendue le 28 février 2022 par l'Office dans la poursuite n° 12______. Au fond : La rejette. Siégeant : Monsieur Jean REYMOND, président; Madame Ekaterine BLINOVA et Monsieur Denis KELLER,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