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DCSO/521/2022 vom 15. Dezember 2022</w:t>
      </w:r>
    </w:p>
    <w:p>
      <w:r>
        <w:t>GE Cour de justice, 2022-12-15, FR</w:t>
      </w:r>
    </w:p>
    <w:p>
      <w:r>
        <w:rPr>
          <w:b/>
        </w:rPr>
        <w:t xml:space="preserve">Quelle: </w:t>
      </w:r>
      <w:r>
        <w:t>https://mcp.opencaselaw.ch/entscheid/ge_gerichte_DCSO_521_2022</w:t>
      </w:r>
    </w:p>
    <w:p>
      <w:r>
        <w:t>FR: GE_GERICHTE DCSO/521/2022 du 15 décembre 2022</w:t>
      </w:r>
    </w:p>
    <w:p>
      <w:r>
        <w:t>IT: GE_GERICHTE DCSO/521/2022 del 15 dicembre 2022</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Selon l'art. 46 al. 1 LP, le for de la poursuite est au domicile du débiteur. Ce domicile est déterminé selon les critères prévus par l'art. 23 al. 1 CC: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5A_284/2020 du 23 décembre 2020 consid. 2.4.2; 5A_680/2020 du 8 décembre 2020 consid. 5.1.1 et l'autre arrêt cité).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5A_419/2020 du 16 avril 2021 consid. 2.2; 5A_680/2020 précité loc. cit.).</w:t>
      </w:r>
    </w:p>
    <w:p>
      <w:r>
        <w:t>La définition du domicile peut parfois s'avérer délicate dans l'hypothèse d'individus partageant leur existence entre plusieurs endroits. Conformément au principe de l'unité du domicile, s'il y a divergence entre le centre des relations personnelles et le centre des relations économiques ou professionnelles, c'est celui</w:t>
      </w:r>
    </w:p>
    <w:p>
      <w:r>
        <w:t>- 5/7 -</w:t>
      </w:r>
    </w:p>
    <w:p>
      <w:r>
        <w:t>A/3386/2021-CS avec lequel l'intéressé a les relations les plus étroites qui l'emportera. Il s'agira le plus souvent du centre de ses relations personnelles (EIGENMANN, in Commentaire romand, Code civil I, 2010, n° 25 ad art. 23 CC).</w:t>
      </w:r>
    </w:p>
    <w:p>
      <w:r>
        <w:t>2.1.2 Les règles sur le for de la poursuite sont des règles de droit impératif. La sanction de leur violation est cependant différente suivant qu'il s'agit de la notification du commandement de payer pour la poursuite ordinaire ou de la continuation de la poursuite ordinaire (GILLIERON, Commentaire de la loi fédérale sur la poursuite pour dettes et la faillite, Articles 1-88, 1999, n° 30 ss des Remarques introductives ad art. 46-55 LP).</w:t>
      </w:r>
    </w:p>
    <w:p>
      <w:r>
        <w:t>L'inobservation des règles sur le for de la poursuite n'entraîne la nullité de plein droit des actes dont il s'agit que dans le cas où elle lèse l'intérêt public ou les intérêts de tiers; la notification d'un commandement de payer par un office des poursuites incompétent ne satisfait pas à cette condition (ATF 96 III 89 consid. 2; 88 III 7 consid. 3; 82 III 63 consid. 4; 69 II 162 consid. 2b; arrêt 5A_362/2013 du 14 octobre 2013 consid. 3.2). Un commandement de payer délivré par un office incompétent à raison du lieu ne peut ainsi qu'être annulé à la suite d'une plainte formée en temps utile (arrêts 5A_108/2018 du 11 juin 2018 consid. 3; 5A_333/2017 du 4 août 2017 consid. 3.2, publié in SJ 2017 I 469; 5A_30/2013 du 7 mai 2013 consid. 3; 7B.132/2002 du 4 octobre 2002 consid. 1 et les arrêts cités).</w:t>
      </w:r>
    </w:p>
    <w:p>
      <w:r>
        <w:rPr>
          <w:b/>
        </w:rPr>
        <w:t>E. 2.2</w:t>
      </w:r>
    </w:p>
    <w:p>
      <w:r>
        <w:t>Il résulte en l'espèce des pièces versées à la procédure que la plaignante dispose d'un logement propre à D______, au Bahrein, dont elle paie régulièrement les charges. Elle possède un véhicule immatriculé dans cet Etat, qui lui a par ailleurs délivré un permis de conduire ainsi que divers documents de légitimation. Elle s'y fait dispenser des soins médicaux et y a des activités de loisir.</w:t>
      </w:r>
    </w:p>
    <w:p>
      <w:r>
        <w:t>Ces documents permettent de confirmer les explications de la plaignante relatives à son mode de vie. Selon celles-ci, elle vit à D______, à proximité du logement occupé par ses parents, ses enfants, majeurs, vivant pour leur part à E______.</w:t>
      </w:r>
    </w:p>
    <w:p>
      <w:r>
        <w:t>Au vu de ces éléments, il convient d'admettre que le centre des intérêts personnels et professionnels de la plaignante, et par voie de conséquence son domicile, se trouvent au Bahrein. Certes, il résulte du dossier qu'elle se rend plusieurs fois par année en Suisse, notamment pour s'occuper de l'association qu'elle a fondée et qu'elle préside à Genève et pour assumer des fonctions au sein d'une société commerciale à Lugano. Ces voyages, lors desquels la plaignante loge dans des hôtels ou des appartements loués pour de courtes durées, ne sauraient toutefois être assimilés à des séjours prolongés. De la même manière, rien n'indique que les activités associatives ou économiques de la plaignante en Suisse occuperaient dans sa vie une place suffisamment importante pour supplanter ses liens avec d'autres pays. Compte tenu du fait qu'elle a longtemps vécu à Genève qu'elle y a</w:t>
      </w:r>
    </w:p>
    <w:p>
      <w:r>
        <w:t>- 6/7 -</w:t>
      </w:r>
    </w:p>
    <w:p>
      <w:r>
        <w:t>A/3386/2021-CS encore de nombreuses connaissances et y possède un immeuble, il ne peut par ailleurs pas être tiré de conclusions de ce qu'elle y ait aussi une case postale.</w:t>
      </w:r>
    </w:p>
    <w:p>
      <w:r>
        <w:t>Le principal argument avancé par l'intimée pour contester les explications de la plaignante sur le fait qu'elle n'habiterait plus Genève, à savoir que le commandement de payer aurait pu lui être notifié en mains propres à la villa de C______, est sans fondement dès lors que cet acte a en réalité été notifié dans les locaux de l'Office après qu'une première tentative de notification à l'adresse de la villa ait échoué.</w:t>
      </w:r>
    </w:p>
    <w:p>
      <w:r>
        <w:t>Etant ainsi acquis que la plaignante n'est pas domiciliée en Suisse au sens de l'art. 23 al. 1 CC, il n'existait pas au moment de la notification du commandement de payer de for ordinaire de la poursuite au sens de l'art. 46 al. 1 LP. Il ne ressort par ailleurs pas du dossier que l'existence d'un for spécial, au sens des art. 48 à 52 LP puisse être retenue, ce que l'intimée ne soutient du reste pas. Il en résulte que l'Office était incompétent à raison du lieu pour établir et notifier le commandement de payer litigieux, ce qui conduit à son annulation.</w:t>
      </w:r>
    </w:p>
    <w:p>
      <w:r>
        <w:t>La plainte sera donc admise sur ce point. Il n'y a en revanche pas lieu de constater, comme le voudrait la plaignante, qu'il n'existe pas de for de poursuite en Suisse pour les créances invoquées en poursuite, une telle décision constatatoire n'étant pas justifiée par la défense de ses intérêts juridiquement protégés et ayant une portée excédant la mesure contestée.</w:t>
      </w:r>
    </w:p>
    <w:p>
      <w:r>
        <w:rPr>
          <w:b/>
        </w:rPr>
        <w:t>E. 3</w:t>
      </w:r>
    </w:p>
    <w:p>
      <w:r>
        <w:t>La procédure de plainte est gratuite (art. 20a al. 2 ch. 5 LP et art. 61 al. 2 let. a OELP) et il ne peut être alloué aucuns dépens dans cette procédure (art. 62 al. 2 OELP). * * * * *</w:t>
      </w:r>
    </w:p>
    <w:p>
      <w:r>
        <w:t>- 7/7 -</w:t>
      </w:r>
    </w:p>
    <w:p>
      <w:r>
        <w:t>A/3386/2021-CS PAR CES MOTIFS, La Chambre de surveillance :</w:t>
      </w:r>
    </w:p>
    <w:p>
      <w:r>
        <w:t>A la forme : Déclare recevable la plainte formée le 4 octobre 2021 par A______ contre le commandement de payer, poursuite n° 4______, notifié le 24 septembre 2021. Au fond : L'admet partiellement. Annule le commandement de payer, poursuite n° 4______, notifié le 24 septembre 2021. Rejette la plainte pour le surplus. Siégeant : Monsieur Patrick CHENAUX, président; Madame Ekaterine BLINOVA et Monsieur Denis KELLER,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