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DCSO/520/2023 vom 23. November 2023</w:t>
      </w:r>
    </w:p>
    <w:p>
      <w:r>
        <w:t>GE Cour de justice, 2023-11-23, FR</w:t>
      </w:r>
    </w:p>
    <w:p>
      <w:r>
        <w:rPr>
          <w:b/>
        </w:rPr>
        <w:t xml:space="preserve">Quelle: </w:t>
      </w:r>
      <w:r>
        <w:t>https://mcp.opencaselaw.ch/entscheid/ge_gerichte_DCSO_520_2023</w:t>
      </w:r>
    </w:p>
    <w:p>
      <w:r>
        <w:t>FR: GE_GERICHTE DCSO/520/2023 du 23 novembre 2023</w:t>
      </w:r>
    </w:p>
    <w:p>
      <w:r>
        <w:t>IT: GE_GERICHTE DCSO/520/2023 del 23 novembre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Dans le cadre tracé par les dispositions légales et les nombreux principes dégagés par la jurisprudence, l'Office dispose, dans la détermination du minimum vital du débiteur, d'un pouvoir d'appréciation étendu (art. 93 al. 1 LP; ATF 134 III 323 consid. 2; OCHSNER, in Commentaire Romand, Poursuite et faillite, 2005, n° 79 ad art. 93 LP), qui lui permet de prendre en considération aussi bien les intérêts des créanciers que ceux du débiteur (ATF 119 III 70 consid. 3b; KREN KOSTKIEWICZ, in KUKO SchKG, 2ème édition, 2014, n° 17 ad art. 93 LP). La garantie du minimum vital prévue par l'art. 93 LP ne vise pas à permettre au débiteur de préserver un train de vie correspondant aux standards communément admis, mais à empêcher que l'exécution forcée ne porte atteinte à ses intérêts fondamentaux, le menace dans sa vie ou sa santé ou lui interdise tout contact avec l'extérieur (ATF 134 III 323 consid. 2; décision de la Chambre de surveillance DCSO/308/18 du 24 mai 2018 consid. 3).</w:t>
      </w:r>
    </w:p>
    <w:p>
      <w:r>
        <w:t>2.1.2 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w:t>
      </w:r>
    </w:p>
    <w:p>
      <w:r>
        <w:t>- 7/12 -</w:t>
      </w:r>
    </w:p>
    <w:p>
      <w:r>
        <w:t>A/1449/2023-CS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 2.1.3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débiteur vivant seul il s'élève à 1'200 fr. (art. 1 NI). 2.1.4 D'autres charges indispensables, comme les frais de logement (art. II.1 et II.3 NI) doivent être ajoutées à cette base mensuelle d'entretien, pour autant qu'elles soient effectivement payées (ATF 121 III 20 consid. 3b, JdT 1997 II p. 163; ATF 120 III 16 consid. 2c, JdT 1996 II p. 179; ATF 112 III 19, JdT 1988 II p. 118; OCHSNER, Commentaire Romand, Poursuite et faillite, 2005, n° 82 ad art. 93 LP).</w:t>
      </w:r>
    </w:p>
    <w:p>
      <w:r>
        <w:t>Les frais de logement effectifs sont retenus, soit le loyer et les charges pour les locataires. Toutefois,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du Tribunal fédéral 5A_912/2018 du 16 janvier 2019 consid. 3.1.2 et les références citées; OCHSNER, Le minimum vital, op. cit., p. 134 et 135).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w:t>
      </w:r>
    </w:p>
    <w:p>
      <w:r>
        <w:t>- 8/12 -</w:t>
      </w:r>
    </w:p>
    <w:p>
      <w:r>
        <w:t>A/1449/2023-CS prises en compte dans le calcul de celui-ci (ATF 129 III 526 consid. 2; 114 III 12 consid. 2a; arrêt du Tribunal fédéral 5A_252/2011 du 14 juillet 2011 consid. 4).</w:t>
      </w:r>
    </w:p>
    <w:p>
      <w:r>
        <w:t>Le loyer admissible est en général calculé en fonction des statistiques publiées par l'Office cantonal de la statistique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(art. 93 al. 1 LP), in SJ 2012 II p. 119 ss, 137 ss). Quant au logement admissible, il consiste dans un appartement qui comprend autant de pièces, voire une pièce de plus que le nombre de personnes y logeant, étant rappelé qu'à Genève, le nombre de pièces se calcule en tenant compte de la cuisine (SJ 2000 II 214; OCHSNER, op. cit., p. 137). 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(DSCO/622/2017 du 30 novembre 2017 consid. 4.1.3 et les références citées). Les frais médicaux ou de médicaments au sens large (médicaments, dentiste, etc.) que doit supporter le poursuivi pendant la saisie font partie du minimum vital pour autant qu'ils soient effectifs, nécessaires et ne soient pas payés par une assurance. Le montant de la franchise, part des frais médicaux qui demeure à la charge de l'assuré, peut être inclus dans le minimum vital après avoir été mensualisé, lorsqu'il est certain que – pendant la saisie – le débiteur devra assumer des frais médicaux qui dépasseront la franchise, par exemple en cas de maladie chronique. Les traitements et médicaments relevant d'une thérapie de confort ne peuvent pas être pris en compte. Les frais médicaux antérieurs à la saisie ne peuvent en revanche être pris en compte (ATF 129 III 242 consid. 4.1, JdT 2003 II 104, SJ 2003 I 375; ATF 85 III 67, JdT 1959 II 84; OCHSNER, Commentaire Romand, Poursuite et faillite, 2005, n° 144 et ss ad art. 93 LP). Les impôts n'appartiennent pas au minimum vital (NI art. III; ATF 126 III 89). 2.1.5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w:t>
      </w:r>
    </w:p>
    <w:p>
      <w:r>
        <w:t>- 9/12 -</w:t>
      </w:r>
    </w:p>
    <w:p>
      <w:r>
        <w:t>A/1449/2023-CS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t>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Basler Kommentar SchKG I, n° 54 ad art. 93 LP; DCSO/243/2015 du 20 août 2015 consid. 2.2 et 2.3).</w:t>
      </w:r>
    </w:p>
    <w:p>
      <w:r>
        <w:t>2.2.1 En l'espèce, de manière générale et dans le cadre des saisies exécutées année après année contre le plaignant, il y a lieu de constater que celui-ci ne collabore pas avec l'Office et ne présente pas sa situation financière au moment adéquat, à savoir lors de l'exécution de la saisie, suite à l'avis de saisie. Cela a encore été le cas lors des deux dernières saisies, contre lesquels le SPAD a formé des plaintes, mais ne s'est pas rendu à l'Office pour exposer la situation de son protégé suite aux avis de saisies qui lui ont été communiqués. Sous réserve d'une saisie portant une atteinte flagrante au minimum vital du débiteur, contraire à l'ordre public et nulle de plein droit (art. 22 al. 2 LP; ATF 114 III 78; arrêt du Tribunal fédéral 5A_680/2015 du 6 novembre 2015 consid. 3), il n'appartient en principe pas à l'autorité de surveillance de revenir sur une saisie à laquelle le débiteur a décidé de ne pas collaborer.</w:t>
      </w:r>
    </w:p>
    <w:p>
      <w:r>
        <w:t>2.2.2 Cela étant, la plainte revient sur des objets déjà traités par la décision DCSO/252/23 du 8 juin 2023 et pour lesquels aucun élément nouveau ne justifie qu'il leur soit apporté une réponse différente.</w:t>
      </w:r>
    </w:p>
    <w:p>
      <w:r>
        <w:t>- 10/12 -</w:t>
      </w:r>
    </w:p>
    <w:p>
      <w:r>
        <w:t>A/1449/2023-CS</w:t>
      </w:r>
    </w:p>
    <w:p>
      <w:r>
        <w:t>Il en va ainsi du loyer des parkings, qu'ils soient appréhendés sous l'angle des frais de logements nécessaires – ce qu'ils ne sont pas à l'évidence – ou des frais de transports – le plaignant ne justifie pas de la nécessité d'un véhicule privé, ce d'autant plus qu'il ne semble pas en état de le conduire – et ceux-ci doivent être écartés du calcul du minimum vital du débiteur. L'Office les exclut d'ailleurs depuis plusieurs années du minimum vital du débiteur, sans qu'il ne l'ait contesté et il aurait dû s'en séparer depuis longtemps. Le plaignant ne saurait actuellement prétendre qu'un délai lui soit octroyé jusqu'à l'échéance des baux – dont il a allégué qu'ils étaient désormais résiliés – avant que cette charge ne soit exclue de son minimum vital.</w:t>
      </w:r>
    </w:p>
    <w:p>
      <w:r>
        <w:t>De même, le plaignant n'apporte aucun élément nouveau s'agissant des frais médicaux nécessaires non remboursés par une assurance à propos desquels il ne fournit guère plus de justificatifs que lors de la procédure précédente. Le renvoi à un budget mensuel type, établi pour les besoins de la cause, et à une liste peu précise et non documentée de frais payés par le SPAD, ne permettent pas de juger du montant des frais médicaux concernés, de leur paiement, de leur non prise en charge par une assurance et de leur caractère nécessaire. A cet égard, un décompte détaillé et justifié par pièces est nécessaire, un forfait approximatif n'étant pas admissible. Cela est d'autant plus nécessaire en l'occurrence que des montants relativement importants sont allégués et que l'on est confronté à une situation de santé très spécifique.</w:t>
      </w:r>
    </w:p>
    <w:p>
      <w:r>
        <w:t>Finalement, la Chambre de céans maintient qu'en l'espèce, il se justifie d'autoriser des charges de loyers dépassant le montant habituellement admis eu égard à la situation très particulière du débiteur. En outre, elle en modifiera le calcul dès lors que dans le cadre de sa dernière décision elle n'y avait pas incorporé les charges, alors qu'il convient de les ajouter. C'est ainsi un montant de 2'709 fr. qu'il y a lieu de retenir à cet égard.</w:t>
      </w:r>
    </w:p>
    <w:p>
      <w:r>
        <w:t>2.2.3 Le plaignant allègue dans la présente procédure de nouvelles charges dont il estime qu'elles devraient figurer dans son minimum vital.</w:t>
      </w:r>
    </w:p>
    <w:p>
      <w:r>
        <w:t>Les impôts du plaignant ne sauraient être admis au titre du minimum vital selon les normes d'insaisissabilité et la jurisprudence du Tribunal fédéral rappelés supra.</w:t>
      </w:r>
    </w:p>
    <w:p>
      <w:r>
        <w:t>L'assurance RC et ménage est incluse dans le montant de base d'entretien mensuel et ne peut y être ajoutée, ainsi que cela a également été exposé ci-dessus.</w:t>
      </w:r>
    </w:p>
    <w:p>
      <w:r>
        <w:t>Les frais d'aide au ménage et d'accompagnement sont simplement allégués et aucunement justifiés. Ils doivent par conséquent être écartés. Cela étant, la Chambre de céans prend note du fait que l'Office est sur le principe d'accord de les incorporer au minimum vital dans la mesure où ils sont établis, ce qu'il y a lieu de valider.</w:t>
      </w:r>
    </w:p>
    <w:p>
      <w:r>
        <w:t>- 11/12 -</w:t>
      </w:r>
    </w:p>
    <w:p>
      <w:r>
        <w:t>A/1449/2023-CS</w:t>
      </w:r>
    </w:p>
    <w:p>
      <w:r>
        <w:t>Les frais de pédicure et de transport ne sont pas suffisamment justifiés et documentés pour être inclus dans le minimum vital du plaignant. Cela étant, dans la mesure où une indication médicale relevant de la nécessité devait être justifiée, si leur montant était établi par pièce, de même que leur non prise en charge par une assurance, leur intégration au minimum vital devrait être admise au titre de frais médicaux nécessaires.</w:t>
      </w:r>
    </w:p>
    <w:p>
      <w:r>
        <w:t>En conclusion, les nouvelles charges dont le plaignant sollicitait l'admission au minimum vital sont rejetées, à tout le moins en l'état de leur justification pour certaines.</w:t>
      </w:r>
    </w:p>
    <w:p>
      <w:r>
        <w:t>2.2.4 Finalement, la Chambre de céans retiendra un revenu du débiteur s'élevant désormais à 6'000 fr. par mois eu égard aux pièces produites par le plaignant.</w:t>
      </w:r>
    </w:p>
    <w:p>
      <w:r>
        <w:rPr>
          <w:b/>
        </w:rPr>
        <w:t>E. 2.3</w:t>
      </w:r>
    </w:p>
    <w:p>
      <w:r>
        <w:t>En définitive, la quotité saisissable des revenus du débiteur sera déterminée à 2'091 fr. par mois (6'000 fr. – 2'709 fr. – 1'200 fr.) et le procès-verbal entrepris sera modifié en ce sens.</w:t>
      </w:r>
    </w:p>
    <w:p>
      <w:r>
        <w:rPr>
          <w:b/>
        </w:rPr>
        <w:t>E. 3</w:t>
      </w:r>
    </w:p>
    <w:p>
      <w:r>
        <w:t>La procédure de plainte est gratuite (art. 20a al. 2 ch. 5 LP; art. 61 al. 2 let. a OELP) et ne donne pas lieu à l'allocation de dépens (art. 62 al. 2 OELP). * * * * *</w:t>
      </w:r>
    </w:p>
    <w:p>
      <w:r>
        <w:t>- 12/12 -</w:t>
      </w:r>
    </w:p>
    <w:p>
      <w:r>
        <w:t>A/1449/2023-CS PAR CES MOTIFS, La Chambre de surveillance :</w:t>
      </w:r>
    </w:p>
    <w:p>
      <w:r>
        <w:t>A la forme : Déclare recevable la plainte formée le 28 avril 2023 par le SPAD pour le compte de A______ contre le procès-verbal de saisie, série 9______, du 17 avril 2023. Au fond : Le modifie en ce sens que la retenue imposée sur les revenus de A______ s'élève à 2'091 fr. par mois du 2 novembre 2023 au 10 février 2024. Siégeant : Monsieur Jean REYMOND, président; MADAME Ekaterine BLINOVA et Monsieur Anthony HUGUENIN, juges assesseurs;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