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DCSO/51/2015 vom 28. Januar 2015</w:t>
      </w:r>
    </w:p>
    <w:p>
      <w:r>
        <w:t>GE Cour de justice, 2015-01-28, FR</w:t>
      </w:r>
    </w:p>
    <w:p>
      <w:r>
        <w:rPr>
          <w:b/>
        </w:rPr>
        <w:t xml:space="preserve">Quelle: </w:t>
      </w:r>
      <w:r>
        <w:t>https://mcp.opencaselaw.ch/entscheid/ge_gerichte_DCSO_51_2015</w:t>
      </w:r>
    </w:p>
    <w:p>
      <w:r>
        <w:t>FR: GE_GERICHTE DCSO/51/2015 du 28 janvier 2015</w:t>
      </w:r>
    </w:p>
    <w:p>
      <w:r>
        <w:t>IT: GE_GERICHTE DCSO/51/2015 del 28 gennaio 2015</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 l'état de frais.</w:t>
      </w:r>
    </w:p>
    <w:p>
      <w:r>
        <w:t>La plainte doit être déposée dans les dix jours de celui où le plaignant a eu connaissance de la mesure (art. 17 al. 2 LP).</w:t>
      </w:r>
    </w:p>
    <w:p>
      <w:r>
        <w:t>La débitrice savait qu'un contrat d'assurance-bâtiment allait être conclu, à défaut d'avoir produit la police d'assurance requise dans le délai échu le 11 décembre 2009. Elle n'a toutefois pris connaissance des conditions de celui-ci, singulièrement du montant de la prime, qu'à réception de l'état de frais. Celui-ci lui a été communiqué par courrier de l'Office du 9 octobre 2014, de sorte que sa plainte, déposée dans les 10 jours suivant la notification, a été formée dans le délai légal.</w:t>
      </w:r>
    </w:p>
    <w:p>
      <w:r>
        <w:t>Répondant, pour le surplus, aux exigences de forme (art. 9 al. 4 LaLP, art. 65 al. 1 et 2 LPA), la plainte est recevable.</w:t>
      </w:r>
    </w:p>
    <w:p>
      <w:r>
        <w:rPr>
          <w:b/>
        </w:rPr>
        <w:t>E. 2</w:t>
      </w:r>
    </w:p>
    <w:p>
      <w:r>
        <w:t>Est litigieuse la question de savoir si l'art. 18 ORFI trouve application au cas d'espèce.</w:t>
      </w:r>
    </w:p>
    <w:p>
      <w:r>
        <w:rPr>
          <w:b/>
        </w:rPr>
        <w:t>E. 2.1</w:t>
      </w:r>
    </w:p>
    <w:p>
      <w:r>
        <w:t>Selon l'art. 17 ORFI, intitulé "mesures ordinaires", la gérance et la culture de l'immeuble saisi comprennent toutes les mesures nécessaires pour entretenir l'immeuble en bon état de rendement ainsi que pour la perception des fruits et autres produits, soit notamment la commande et le paiement de petites</w:t>
      </w:r>
    </w:p>
    <w:p>
      <w:r>
        <w:t>- 4/6 -</w:t>
      </w:r>
    </w:p>
    <w:p>
      <w:r>
        <w:t>A/3185/2015-CS réparations, les ensemencements et plantations, la conclusion et le renouvellement des assurances usuelles, la résiliation des baux, l'expulsion des locataires, la conclusion de nouveaux baux, la récolte et la vente des fruits, la rentrée des loyers et fermages au besoin par voie de poursuites, l'exercice du droit de rétention du bailleur, le paiement des redevances courantes (pour le gaz, l'eau, l'électricité, etc.).</w:t>
      </w:r>
    </w:p>
    <w:p>
      <w:r>
        <w:t>L'art. 18 al. 1er ORFI se rapporte aux "mesures exceptionnelles". Si dans l'intérêt d'une bonne gestion il est nécessaire de faire des procès ou de recourir à d'autres mesures exceptionnelles ou impliquant des frais considérables et qu'il y a péril en la demeure, l'office fera de lui-même le nécessaire; toutefois il informera immédiatement des mesures prises les créanciers poursuivants, y compris les créanciers gagistes qui ont intenté des poursuites (art. 806 CC), ainsi que le débiteur, en les avisant qu'ils ont le droit de porter plainte (al. 1). S'il n'y a pas péril en la demeure, l'office demandera tout d'abord leur avis aux créanciers et au débiteur, en leur fixant un délai convenable et en formulant des propositions précises quant aux mesures à prendre et à la façon d'en couvrir les frais; si le délai s'écoule sans que les propositions aient été combattues, elles seront censées acceptées. Si les créanciers et le débiteur tombent d'accord pour qu'il soit pris des mesures différentes, l'office devra suivre les instructions reçues, pourvu que les créanciers fassent l'avance des frais nécessaires ou qu'il dispose sans cela de ressources suffisantes. Si les intéressés ne sont pas d'accord quant à l'attitude à adopter, l'office demandera à l'autorité de surveillance les instructions nécessaires (al. 2).</w:t>
      </w:r>
    </w:p>
    <w:p>
      <w:r>
        <w:rPr>
          <w:b/>
        </w:rPr>
        <w:t>E. 2.2</w:t>
      </w:r>
    </w:p>
    <w:p>
      <w:r>
        <w:t>Il ressort de ce qui précède que la conclusion et le renouvellement des assurances usuelles font partie des mesures ordinaires que l'art. 17 ORFI autorise expressément l'Office à prendre sans consulter le débiteur et les créanciers. A Genève, l'assurance-bâtiment et en responsabilité civile n'est pas obligatoire. Il est toutefois notoire qu'elle est largement répandue (cf. le site de l'association suisse d'assurances www.svv.ch/fr; le site du Bureau d'estimation des bâtiments www.beb-ge.ch). S'agissant d'une assurance usuellement contractée par les propriétaires d'immeubles dans le canton de Genève, l'Office pouvait procéder selon l'art. 17 ORFI, à savoir sans interpeler la plaignante et les créanciers. L'Office a néanmoins, avant de conclure le contrat litigieux, invité par deux fois la plaignante à lui faire parvenir l'éventuel contrat déjà existant. N'ayant pas donné suite à la demande de l'Office, la débitrice ne peut se plaindre de ce que celui-ci a pris les mesures qui s'imposaient en vue de préserver la valeur de l'immeuble en cas de sinistre. En effet, le comportement de la plaignante, dont le manque de collaboration a conduit à la conclusion du contrat litigieux, est contradictoire et ne mérite pas protection (art. 2 al. 2 CC). L'Office n'avait pas davantage l'obligation d'interpeller la plaignante lors du renouvellement du contrat d'assurance, celui-ci relevant des actes entrant dans le cadre de l'art. 17 ORFI.</w:t>
      </w:r>
    </w:p>
    <w:p>
      <w:r>
        <w:t>- 5/6 -</w:t>
      </w:r>
    </w:p>
    <w:p>
      <w:r>
        <w:t>A/3185/2015-CS</w:t>
      </w:r>
    </w:p>
    <w:p>
      <w:r>
        <w:t>Mal fondée, la plainte sera donc rejetée.</w:t>
      </w:r>
    </w:p>
    <w:p>
      <w:r>
        <w:rPr>
          <w:b/>
        </w:rPr>
        <w:t>E. 3</w:t>
      </w:r>
    </w:p>
    <w:p>
      <w:r>
        <w:t>La procédure est gratuite (art. 20a al. 2 ch. 5 LP et art. 61 al. 2 let. a OELP). * * * * *</w:t>
      </w:r>
    </w:p>
    <w:p>
      <w:r>
        <w:t>- 6/6 -</w:t>
      </w:r>
    </w:p>
    <w:p>
      <w:r>
        <w:t>A/3185/2015-CS PAR CES MOTIFS, La Chambre de surveillance : A la forme : Déclare recevable la plainte déposée le 20 octobre 2014 par Mme B______ contre l'état de frais établi dans la poursuite n° 09 xxxxx7 Y. Au fond : La rejette. Siégeant : Madame Florence KRAUSKOPF, présidente; Madame Valérie CARERA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