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DCSO/519/2017 vom 12. Oktober 2017</w:t>
      </w:r>
    </w:p>
    <w:p>
      <w:r>
        <w:t>GE Cour de justice, 2017-10-12, FR</w:t>
      </w:r>
    </w:p>
    <w:p>
      <w:r>
        <w:rPr>
          <w:b/>
        </w:rPr>
        <w:t xml:space="preserve">Quelle: </w:t>
      </w:r>
      <w:r>
        <w:t>https://mcp.opencaselaw.ch/entscheid/ge_gerichte_DCSO_519_2017</w:t>
      </w:r>
    </w:p>
    <w:p>
      <w:r>
        <w:t>FR: GE_GERICHTE DCSO/519/2017 du 12 octobre 2017</w:t>
      </w:r>
    </w:p>
    <w:p>
      <w:r>
        <w:t>IT: GE_GERICHTE DCSO/519/2017 del 12 ottobre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d'une commination de faillite.</w:t>
      </w:r>
    </w:p>
    <w:p>
      <w:r>
        <w:t>- 3/5 -</w:t>
      </w:r>
    </w:p>
    <w:p>
      <w:r>
        <w:t>A/980/2017-CS</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1.2</w:t>
      </w:r>
    </w:p>
    <w:p>
      <w:r>
        <w:t>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2016 consid. 1.1). Si cet intérêt existe lors du dépôt du recours mais disparaît pendant la durée de la procédure de recours, la cause doit être rayée du rôle car devenue sans objet (ATF 137 I 23 consid. 1.3.1).</w:t>
      </w:r>
    </w:p>
    <w:p>
      <w:r>
        <w:rPr>
          <w:b/>
        </w:rPr>
        <w:t>E. 1.3</w:t>
      </w:r>
    </w:p>
    <w:p>
      <w:r>
        <w:t>La plainte respecte en l'espèce la forme écrite et a été déposée en temps utile par une personne en principe lésée ou exposée à l'être dans ses intérêts juridiquement protégés.</w:t>
      </w:r>
    </w:p>
    <w:p>
      <w:r>
        <w:t>Il est douteux en revanche qu'elle réponde aux exigences de motivation résultant de l'art. 17 LP : les conclusions formulées, relatives à la "mise en faillite" de la plaignante, ne concernent en effet pas l'activité de l'Office mais celle du juge (art. 171 et ss. LP). Sous réserve de son allégation selon laquelle elle vivrait la plupart du temps à l'étranger – dont elle ne tire toutefois aucune conclusion, notamment quant à l'existence d'un for de poursuite à Genève – la motivation invoquée par la plaignante se rapporte pour le surplus au bien-fondé des créances en poursuite, grief dont ni l'Office ni la Chambre de céans ne connaissent.</w:t>
      </w:r>
    </w:p>
    <w:p>
      <w:r>
        <w:t>La question de la recevabilité de la plainte peut en tout état rester ouverte dès lors qu'il résulte des explications non contestées de l'Office que les poursuites litigieuses se sont aujourd'hui éteintes par suite de paiements intervenus le 11 avril 2017 en ses mains. Cette circonstance a pour conséquence la disparition de l'intérêt qu'avait la plaignante à l'annulation des comminations de faillite notifiées le 8 mars 2017, de telle sorte que la plainte est devenue sans objet. La cause sera donc rayée du rôle.</w:t>
      </w:r>
    </w:p>
    <w:p>
      <w:r>
        <w:t>- 4/5 -</w:t>
      </w:r>
    </w:p>
    <w:p>
      <w:r>
        <w:t>A/980/2017-CS</w:t>
      </w:r>
    </w:p>
    <w:p>
      <w:r>
        <w:rPr>
          <w:b/>
        </w:rPr>
        <w:t>E. 2</w:t>
      </w:r>
    </w:p>
    <w:p>
      <w:r>
        <w:t>La procédure de plainte est gratuite (art. 20a al. 2 ch. 5 LP et art. 61 al. 2 let. a OELP) et il ne peut être alloué aucuns dépens dans cette procédure (art. 62 al. 2 OELP). * * * * *</w:t>
      </w:r>
    </w:p>
    <w:p>
      <w:r>
        <w:t>- 5/5 -</w:t>
      </w:r>
    </w:p>
    <w:p>
      <w:r>
        <w:t>A/980/2017-CS PAR CES MOTIFS, La Chambre de surveillance : A la forme : Déclare recevable la plainte formée le 20 mars 2017 par A_______ contre les comminations de faillite notifiées le 8 mars 2017 par l'Office des poursuites dans les poursuites nos 1_______ et 2_______. Au fond : Constate qu'elle est devenue sans objet. Raye en conséquence la cause du rôle. Siégeant : Monsieur Patrick CHENAUX, président; Madame Natalie OPPATJA et Monsieur Denis KELLER,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