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DCSO/518/2024 vom 7. November 2024</w:t>
      </w:r>
    </w:p>
    <w:p>
      <w:r>
        <w:t>GE Cour de justice, 2024-11-07, FR</w:t>
      </w:r>
    </w:p>
    <w:p>
      <w:r>
        <w:rPr>
          <w:b/>
        </w:rPr>
        <w:t xml:space="preserve">Quelle: </w:t>
      </w:r>
      <w:r>
        <w:t>https://mcp.opencaselaw.ch/entscheid/ge_gerichte_DCSO_518_2024</w:t>
      </w:r>
    </w:p>
    <w:p>
      <w:r>
        <w:t>FR: GE_GERICHTE DCSO/518/2024 du 7 novembre 2024</w:t>
      </w:r>
    </w:p>
    <w:p>
      <w:r>
        <w:t>IT: GE_GERICHTE DCSO/518/2024 del 7 novembre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de mesures de l'Office pouvant être attaquée par cette voie (art. 17 al. 1 LP) et par une partie lésée dans ses intérêts (ATF 138 III 219 consid. 2.3; 129 III 595 consid. 3; 120 III 42 consid. 3), la plainte est recevable.</w:t>
      </w:r>
    </w:p>
    <w:p>
      <w:r>
        <w:rPr>
          <w:b/>
        </w:rPr>
        <w:t>E. 2</w:t>
      </w:r>
    </w:p>
    <w:p>
      <w:r>
        <w:t>2.1.1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qui, pour les personnes physiques, se trouve au domicile du débiteur, ainsi qu'un nombre très limité de fors spéciaux (art. 48 à 52 LP).</w:t>
      </w:r>
    </w:p>
    <w:p>
      <w:r>
        <w:t>2.1.2 Aux termes de l'art. 50 LP, le débiteur domicilié à l'étranger qui possède un établissement en Suisse peut y être poursuivi pour les dettes de celui-ci (al. 1) et le débiteur domicilié à l'étranger, qui a élu domicile en Suisse pour l'exécution d'une obligation, peut y être poursuivi pour cette dette (al. 2). Le for spécial prévu par cette disposition ne dépend pas d'une inscription au registre du commerce mais est subordonné seulement à l'existence d'un établissement en Suisse du débiteur domicilié à l'étranger (ATF 114 III 6 consid.; 98 Ib 100 consid. 3; Schmid, in BAK SchKG I, 2ème éd. 2010, n. 9 ad art. 50 LP; GILLIERON, Commentaire de la loi fédérale sur la poursuite pour dettes et la faillite, 1999, n. 29 ss ad art. 50 LP).</w:t>
      </w:r>
    </w:p>
    <w:p>
      <w:r>
        <w:t>La notion d'"établissement" au sens de l'art. 50 LP al. 1 LP est plus large que celle de succursale du droit des sociétés. Il suffit qu'une activité économique soit déployée en Suisse, quelle qu'en soit la forme, de manière non transitoire, avec des moyens humains et des biens ou des services. L'établissement en Suisse peut, par exemple, être une entreprise individuelle (OCHSNER, La poursuite contre le débiteur à l'étranger, in JdT 2014 II 3, p. 7-8).</w:t>
      </w:r>
    </w:p>
    <w:p>
      <w:r>
        <w:t>Les dettes doivent, quant à elles, découler de cette activité. Selon la jurisprudence relative à l'art. 50 al. 1 LP, déterminer si une dette concerne l'établissement en Suisse est une question de fond, à résoudre dans la procédure de mainlevée (ATF 114 III 6 consid. 1; arrêt du Tribunal fédéral 4A_295/2020 du 28 décembre 2020 consid. 7.3 et les références citées).</w:t>
      </w:r>
    </w:p>
    <w:p>
      <w:r>
        <w:t>- 4/6 -</w:t>
      </w:r>
    </w:p>
    <w:p>
      <w:r>
        <w:t>A/2386/2024-CS</w:t>
      </w:r>
    </w:p>
    <w:p>
      <w:r>
        <w:t>2.1.3 La question de la compétence territoriale de l'office des poursuites requis pour établir et notifier le commandement de payer ne doit pas être confondue avec celle du lieu de notification de cet acte et de la personne en mains de laquelle il peut être notifié, réglée par les art. 64 à 66 LP.</w:t>
      </w:r>
    </w:p>
    <w:p>
      <w:r>
        <w:t>2.1.4 Une poursuite au for spécial de l'art. 50 al. 1 LP demeure possible après cessation de l'activité de l'établissement, aussi longtemps que celui-ci n'a pas été entièrement liquidé (ATF 114 III 6 consid. 1e ["au moment de la poursuite"]; arrêt de la Chambre des poursuites et des faillites du Tribunal fédéral du 24 décembre 1921, in : SJ 44/1922 p. 145 ss, 147 consid. I).</w:t>
      </w:r>
    </w:p>
    <w:p>
      <w:r>
        <w:t>Tant que l’établissement commercial n’est pas liquidé, il peut être poursuivi, même s’il n’y déploie plus d’activité (SCHMID, BSK SchKG, N 18 ad Art. 50 LP).</w:t>
      </w:r>
    </w:p>
    <w:p>
      <w:r>
        <w:t>2.1.5 L'art. 53 LP est applicable à la poursuite se déroulant au for prévu par l'art. 50 al. 1 LP (ATF 68 III 146 consid. 1; GILLIERON, op. cit., n° 12 ad art. 50 LP), ce qui a pour conséquence que l'existence d'un for de poursuite doit être examinée au moment de la notification du commandement de payer, le simple dépôt d'une réquisition de poursuite ne figeant pas la situation à cet égard, au contraire de la notification d'un avis de saisie ou d'une commination de faillite (art. 53 LP). Une poursuite valablement commencée au for spécial prévu par l'art. 50 al. 1 LP peut toutefois être continuée à un autre for, ordinaire ou spécial, si les conditions d'application de cette disposition ne sont plus réalisées au for initial.</w:t>
      </w:r>
    </w:p>
    <w:p>
      <w:r>
        <w:t>L'office des poursuites qui a exécuté une saisie est compétent pour la compléter au fur et à mesure que des poursuivants, qui ont requis la continuation de la poursuite, y participent, autant que cela est nécessaire pour désintéresser tous les créanciers formant cette première série (art. 110 al. 1 LP). Seule est déterminante la communication de l'avis de saisie à réception de la réquisition de continuer du ou des poursuivants, qui ont provoqué par leur réquisition l'exécution de la saisie, car un nouvel avis de saisie n'est pas communiqué concernant les autres poursuivants (GILLIERON, op. cit., n° 21 ad art. 53 LP).</w:t>
      </w:r>
    </w:p>
    <w:p>
      <w:r>
        <w:rPr>
          <w:b/>
        </w:rPr>
        <w:t>E. 2.2</w:t>
      </w:r>
    </w:p>
    <w:p>
      <w:r>
        <w:t>En l'espèce, il est établi que le plaignant est domicilié en France et qu'il a exercé à Genève une activité de médecin dans son cabinet situé à E______. A juste titre, il ne conteste pas qu'il se soit agi là d'un établissement au sens de l'art. 50 al. 1 LP, ce qui créait un for de poursuite pour les créances le concernant (art. 50 al. 1 LP). Dès lors qu'il n'appartient pas aux organes de la poursuite mais au juge civil de déterminer si la dette faisant l'objet de la poursuite concerne ou non l'établissement sis en Suisse (ATF 114 III 6 consid. 1), il faut a priori retenir que la poursuite pouvait se dérouler à Genève.</w:t>
      </w:r>
    </w:p>
    <w:p>
      <w:r>
        <w:t>Le plaignant fait toutefois valoir qu'il avait cessé l'exploitation de son établissement de sorte que l'Office serait territorialement incompétent. Preuve en était la mesure de retrait de son autorisation d'exercer la profession de médecin</w:t>
      </w:r>
    </w:p>
    <w:p>
      <w:r>
        <w:t>- 5/6 -</w:t>
      </w:r>
    </w:p>
    <w:p>
      <w:r>
        <w:t>A/2386/2024-CS pour une durée de douze mois, du 15 octobre 2023 au 14 octobre 2024 et son statut "inactif" sur la plateforme des professions de la santé. Or, ces éléments n'établissent pas la liquidation de l'établissement mais uniquement la cessation temporaire de l'activité de médecin. Le plaignant n'a du reste fourni aucune indication sur les démarches qu'il aurait entreprises pour liquider son cabinet (par exemple la résiliation du bail à loyer) et n'affirme pas qu'il n'a pas l'intention de poursuivre son activité de médecin à Genève, à la même adresse, à l'issue de la période de retrait de l'autorisation.</w:t>
      </w:r>
    </w:p>
    <w:p>
      <w:r>
        <w:t>Il apparaît ainsi que, à supposer qu'elle ait débuté ce qui est douteux, la liquidation de l'établissement n'était pas achevée lors de la notification les 28 novembre 2023 et 22 décembre 2023 de deux des cinq commandements de payer, lors de la communication de l'avis de saisie du 16 janvier 2024 (qui n'a pas été retiré) et de l'audition du plaignant par l'Office le 26 février 2024 (art. 53 LP), ni ultérieurement. A teneur du dossier, les conditions d'application de l'art. 50 al. 1 LP étaient ainsi toujours réunies, y compris du reste au moment de la notification du procès-verbal de saisie, malgré la cessation temporaire par le plaignant de son activité de médecin.</w:t>
      </w:r>
    </w:p>
    <w:p>
      <w:r>
        <w:t>Mal fondée, la plainte doit ainsi être rejetée.</w:t>
      </w:r>
    </w:p>
    <w:p>
      <w:r>
        <w:rPr>
          <w:b/>
        </w:rPr>
        <w:t>E. 3</w:t>
      </w:r>
    </w:p>
    <w:p>
      <w:r>
        <w:t>La procédure de plainte est gratuite (art. 20a al. 2 ch. 5 LP et art. 61 al. 2 let. a OELP) et il ne peut être alloué aucuns dépens dans cette procédure (art. 62 al. 2 OELP). * * * * *</w:t>
      </w:r>
    </w:p>
    <w:p>
      <w:r>
        <w:t>- 6/6 -</w:t>
      </w:r>
    </w:p>
    <w:p>
      <w:r>
        <w:t>A/2386/2024-CS PAR CES MOTIFS, La Chambre de surveillance :</w:t>
      </w:r>
    </w:p>
    <w:p>
      <w:r>
        <w:t>A la forme : Déclare recevable la plainte formée le 12 juillet 2024 par A______ contre le procès- verbal de saisie, série n° 7______. Au fond : La rejette. Siégeant : Madame Verena PEDRAZZINI RIZZI, présidente; Madame Alisa RAMELET- TELQIU et Monsieur Denis KELLER, juges assesseurs; Madame Elise CAIRUS, greffière.</w:t>
      </w:r>
    </w:p>
    <w:p>
      <w:r>
        <w:t>La présidente :</w:t>
      </w:r>
    </w:p>
    <w:p>
      <w:r>
        <w:t>Verena PEDRAZZINI RIZZI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