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DCSO/516/2024 vom 7. November 2024</w:t>
      </w:r>
    </w:p>
    <w:p>
      <w:r>
        <w:t>GE Cour de justice, 2024-11-07, FR</w:t>
      </w:r>
    </w:p>
    <w:p>
      <w:r>
        <w:rPr>
          <w:b/>
        </w:rPr>
        <w:t xml:space="preserve">Quelle: </w:t>
      </w:r>
      <w:r>
        <w:t>https://mcp.opencaselaw.ch/entscheid/ge_gerichte_DCSO_516_2024</w:t>
      </w:r>
    </w:p>
    <w:p>
      <w:r>
        <w:t>FR: GE_GERICHTE DCSO/516/2024 du 7 novembre 2024</w:t>
      </w:r>
    </w:p>
    <w:p>
      <w:r>
        <w:t>IT: GE_GERICHTE DCSO/516/2024 del 7 novembre 2024</w:t>
      </w:r>
    </w:p>
    <w:p>
      <w:pPr>
        <w:pStyle w:val="Heading2"/>
      </w:pPr>
      <w:r>
        <w:t>Regeste</w:t>
      </w:r>
    </w:p>
    <w:p>
      <w:r>
        <w:t>Résumé: Recours interjeté au TF le 18.11.2024 par le débiteur, retiré le 03.12.2024 (5A_791/2024).</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la décision portant sur la quotité saisissable des revenus du débiteur en cas de séquestre ou de saisie.</w:t>
      </w:r>
    </w:p>
    <w:p>
      <w:r>
        <w:t>La plainte doit être déposée, sous forme écrite et motivée (art. 9 al. 1 et 2 LaLP; art. 65 al. 1 et 2 LPA, applicable par renvoi de l'art. 9 al. 4 LaLP), dans les dix jours de celui où le plaignant a eu connaissance de la mesure (art. 17 al. 2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(DIETH/WOHL, in KUKO SchKG, 2ème éd., 2014, n. 11, 12 ad art. 17 LP).</w:t>
      </w:r>
    </w:p>
    <w:p>
      <w:r>
        <w:t>1.1.2 Le débiteur est censé avoir renoncé à se prévaloir du moyen tiré de l'insaisissabilité d'un bien s'il ne s'est pas adressé à l'autorité de surveillance dans les dix jours suivant la communication du procès-verbal de saisie ou de séquestre.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(ATF 97 III 7 = JdT 1973 II 20 ss; cf. ég. ATF 114 III 78 = JdT 1990 II 162 ss).</w:t>
      </w:r>
    </w:p>
    <w:p>
      <w:r>
        <w:rPr>
          <w:b/>
        </w:rPr>
        <w:t>E. 1.2</w:t>
      </w:r>
    </w:p>
    <w:p>
      <w:r>
        <w:t>En l'occurrence, la plainte respecte les exigences de forme prévues par la loi et émane d'une personne qui, si son argumentation devait être retenue, serait lésée dans ses intérêts juridiquement protégés. Elle est donc, à cet égard, recevable.</w:t>
      </w:r>
    </w:p>
    <w:p>
      <w:r>
        <w:t>Toutefois, le moyen soulevé par le plaignant semble tardif. En effet, c'est contre le procès-verbal de séquestre, notifié le 1er novembre 2023, que le plaignant aurait dû agir s'il entendait invoquer la nature insaisissable des créances appréhendées et non pas contre le procès-verbal dressé à la suite de la conversion du séquestre en saisie définitive, qui porte exactement sur les mêmes actifs.</w:t>
      </w:r>
    </w:p>
    <w:p>
      <w:r>
        <w:rPr>
          <w:b/>
        </w:rPr>
        <w:t>E. 1.3</w:t>
      </w:r>
    </w:p>
    <w:p>
      <w:r>
        <w:t>Nonobstant la tardiveté de la plainte, la Chambre de surveillance devra examiner si l'exécution du séquestre par l'Office a conduit à priver le débiteur et les membres de sa famille des objets indispensables au vivre et au coucher, voire a porté une atteinte flagrante à son minimum vital, une telle mesure étant nulle au sens de l'art. 22 LP, ce qui peut être constaté en tout temps et indépendamment de toute plainte (art. 22 al. 1 LP in fine).</w:t>
      </w:r>
    </w:p>
    <w:p>
      <w:r>
        <w:t>- 5/7 -</w:t>
      </w:r>
    </w:p>
    <w:p>
      <w:r>
        <w:t>A/1834/2024-CS</w:t>
      </w:r>
    </w:p>
    <w:p>
      <w:r>
        <w:rPr>
          <w:b/>
        </w:rPr>
        <w:t>E. 2</w:t>
      </w:r>
    </w:p>
    <w:p>
      <w:r>
        <w:t>2.1.1 Selon l’art. 92 al. 1 ch. 9a LP, sont insaisissables les rentes au sens de l’art. 20 de la loi fédérale sur l’assurance-vieillesse et survivants, ainsi que les prestations au sens de l’art. 12 de la loi fédérale sur les prestations complémentaires à l’assurance-vieillesse, survivants et invalidité et les prestations des caisses de compensation pour allocations familiales.</w:t>
      </w:r>
    </w:p>
    <w:p>
      <w:r>
        <w:t>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survenus (ATF 121 III 285 consid. 1b et 3; 120 III 71 consid. 2 et 3, JdT 1997 II 18; arrêts du Tribunal fédéral 7B_253/2003 du 23 décembre 2003 consid. 3.1; 7B_234/2003 du 17 novembre 2003 consid. 3).</w:t>
      </w:r>
    </w:p>
    <w:p>
      <w:r>
        <w:t>Le paiement rétroactif des rentes et autres prestations insaisissables ne peut en principe pas être saisi (VONDER MÜHLL, BSK SchKG, n. 38 ad art. 92 LP). En revanche, l'épargne que le débiteur a pu constituer à l'aide, le cas échéant, de telles prestations est saisissable, la fortune mobilière pouvant en règle générale être saisie en intégralité (VONDER MÜHLL, ibid. se référant à un arrêt bâlois; cf. décision de l'Autorité de surveillance de Genève du 25 janvier 1995, DAS/50/1995). En effet, contrairement aux rentes et autres prestations sociales, l'épargne n'est pas destinée à couvrir l'entretien futur (cf. ATF 115 III 45 consid. 1b). Il en va de même pour les arriérés de rente que le débiteur ne consomme pas pendant un certain temps (VONDER MÜHLL, ibid).</w:t>
      </w:r>
    </w:p>
    <w:p>
      <w:r>
        <w:t>2.1.2 En l'espèce, il sera d'abord observé que l'Office n'a pas saisi des rentes AVS ou des prestations complémentaires mais des avoirs se trouvant sur des comptes bancaires du plaignant à une date déterminée. S'il est exact que le plaignant a reçu sur son compte auprès de B______, en 2014, un rétroactif important du Service des prestations complémentaires, de 24'943 fr., il sera relevé qu'environ dix ans plus tard, en octobre 2023, sur ce même compte bancaire, le solde des avoirs du plaignant était supérieur à cette somme, de sorte qu'il y a lieu de considérer qu'il s'agit bien d'épargne, qui n'est pas destinée à couvrir l'entretien futur du plaignant.</w:t>
      </w:r>
    </w:p>
    <w:p>
      <w:r>
        <w:t>Par ailleurs, le plaignant ne développe que le grief de l'insaisissabilité de sa rente AVS et de ses prestations complémentaires et ne fournit aucun élément concret concernant une atteinte à son minimum vital, même si l'on peut supposer qu'en tant que bénéficiaire de prestations complémentaires, ses seules ressources sont celles-ci. Il n'établit en particulier pas qu'il n'a pas pu s'acquitter de ses charges indispensables (loyer, nourriture, etc.) après le séquestre du compte sur lequel il perçoit ces prestations et dans les mois qui ont suivi. Or, ce sont les avoirs qui se trouvaient sur le compte au moment de l'exécution du séquestre le 12 octobre 2023 qui ont été saisis et non pas les sommes que le plaignant a continué à percevoir par la suite, lesquelles ont pu couvrir ses besoins futurs. Dans ces</w:t>
      </w:r>
    </w:p>
    <w:p>
      <w:r>
        <w:t>- 6/7 -</w:t>
      </w:r>
    </w:p>
    <w:p>
      <w:r>
        <w:t>A/1834/2024-CS circonstances, on ne saurait soutenir l'existence d'une atteinte flagrante au minimum vital, entraînant la nullité de l'exécution du séquestre (ou de la saisie) par l'Office. Ces mesures n'ayant pas placé le plaignant dans une situation intolérable, la plainte s'avère mal fondée.</w:t>
      </w:r>
    </w:p>
    <w:p>
      <w:r>
        <w:rPr>
          <w:b/>
        </w:rPr>
        <w:t>E. 3</w:t>
      </w:r>
    </w:p>
    <w:p>
      <w:r>
        <w:t>La procédure de plainte est gratuite (art. 20a al. 2 ch. 5 LP et art. 61 al. 2 let. a OELP) et il ne peut être alloué aucun dépens dans cette procédure (art. 62 al. 2 OELP). * * * * *</w:t>
      </w:r>
    </w:p>
    <w:p>
      <w:r>
        <w:t>- 7/7 -</w:t>
      </w:r>
    </w:p>
    <w:p>
      <w:r>
        <w:t>A/1834/2024-CS PAR CES MOTIFS, La Chambre de surveillance :</w:t>
      </w:r>
    </w:p>
    <w:p>
      <w:r>
        <w:t>Rejette, dans la mesure de sa recevabilité, la plainte formée le 27 mai 2024 par A______ contre le procès-verbal de saisie du 10 mai 2024 dans la série n° 3______. Siégeant : Madame Verena PEDRAZZINI RIZZI, présidente; Madame Alisa RAMELET- TELQIU et Monsieur Denis KELLER, juges assesseurs; Madame Véronique AMAUDRY-PISCETTA, greffière.</w:t>
      </w:r>
    </w:p>
    <w:p>
      <w:r>
        <w:t>La présidente :</w:t>
      </w:r>
    </w:p>
    <w:p>
      <w:r>
        <w:t>La greffière : 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