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DCSO/515/2018 vom 1. Oktober 2018</w:t>
      </w:r>
    </w:p>
    <w:p>
      <w:r>
        <w:t>GE Cour de justice, 2018-10-01, FR</w:t>
      </w:r>
    </w:p>
    <w:p>
      <w:r>
        <w:rPr>
          <w:b/>
        </w:rPr>
        <w:t xml:space="preserve">Quelle: </w:t>
      </w:r>
      <w:r>
        <w:t>https://mcp.opencaselaw.ch/entscheid/ge_gerichte_DCSO_515_2018</w:t>
      </w:r>
    </w:p>
    <w:p>
      <w:r>
        <w:t>FR: GE_GERICHTE DCSO/515/2018 du 1 octobre 2018</w:t>
      </w:r>
    </w:p>
    <w:p>
      <w:r>
        <w:t>IT: GE_GERICHTE DCSO/515/2018 del 1 ottobre 2018</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cinq jours (art. 20 LP) et selon la forme prescrite par la loi (art. 9 al. 1 et 2 LaLP, art. 65 al. 1 et 2 LPA, applicables par renvoi de l'art. 9 al. 4 LaLP), à l'encontre d'une mesure de l'Office sujette à plainte.</w:t>
      </w:r>
    </w:p>
    <w:p>
      <w:r>
        <w:t>- 3/5 -</w:t>
      </w:r>
    </w:p>
    <w:p>
      <w:r>
        <w:t>A/3326/2018-CS</w:t>
      </w:r>
    </w:p>
    <w:p>
      <w:r>
        <w:rPr>
          <w:b/>
        </w:rPr>
        <w:t>E. 1.2</w:t>
      </w:r>
    </w:p>
    <w:p>
      <w:r>
        <w:t>Conformément à l'art. 20 LP, la présente décision est rendue dans les cinq jours à compter du dépôt de la plainte.</w:t>
      </w:r>
    </w:p>
    <w:p>
      <w:r>
        <w:rPr>
          <w:b/>
        </w:rPr>
        <w:t>E. 2.1</w:t>
      </w:r>
    </w:p>
    <w:p>
      <w:r>
        <w:t>Selon l'art. 177 al. 1 LP, le créancier qui agit en vertu d'un effet de change ou d'un chèque peut, alors même que la créance est garantie par un gage, requérir la poursuite pour effets de change, lorsque le débiteur est sujet à la poursuite par voie de faillite.</w:t>
      </w:r>
    </w:p>
    <w:p>
      <w:r>
        <w:t>Saisi d'une réquisition de poursuite pour effets de change, l'Office doit, avant d'établir puis de notifier le commandement de payer, vérifier que les conditions d'une telle poursuite apparaissent prima facie réunies (art. 178 al. 1 LP; DALLEVES, in CR LP, 2005, N 2 ad art. 178 LP). Cet examen porte sur les conditions relevant du droit de la poursuite, en particulier celui de savoir si le débiteur est ou non soumis à la poursuite par voie de faillite, ainsi que sur les légitimations formelles du créancier et du débiteur, mais non sur les questions de droit matériel (DALLEVES, op. cit., N 4 ad art. 178 LP). Une poursuite pour effets de change dirigée contre une personne non soumise à la poursuite par voie de faillite est nulle (TALBOT, in Kommentar zum SchKG, 2017, Kren Kostkiewicz Vock [éd.], N 6 ad art. 177 LP). Le moment déterminant pour juger si cette condition est ou non réalisée est celui de l'introduction de la poursuite pour effets de change, une radiation ultérieure du Registre du commerce demeurant sans influence sur la validité d'une telle poursuite (art. 40 al. 2 LP; DALLEVES, op. cit., N 14 ad art. 177 LP).</w:t>
      </w:r>
    </w:p>
    <w:p>
      <w:r>
        <w:rPr>
          <w:b/>
        </w:rPr>
        <w:t>E. 2.2</w:t>
      </w:r>
    </w:p>
    <w:p>
      <w:r>
        <w:t>Sont soumis à la poursuite par voie de faillite les débiteurs inscrits au Registre du commerce en qualité, notamment, de chefs d'une raison de commerce individuelle (art. 39 al. 1 ch. 1 LP). L'assujettissement à la poursuite par voie de faillite demeure durant les six mois qui suivent la publication de la radiation de l'inscription au Registre du commerce (art. 40 al. 1 LP). S'agissant d'un délai fixé en mois, il expire le jour du dernier mois correspondant au jour où il a commencé à courir (art. 142 al. 2 CPC, applicable par renvoi de l'art. 31 LP).</w:t>
      </w:r>
    </w:p>
    <w:p>
      <w:r>
        <w:rPr>
          <w:b/>
        </w:rPr>
        <w:t>E. 2.3</w:t>
      </w:r>
    </w:p>
    <w:p>
      <w:r>
        <w:t>Dans le cas d'espèce, le plaignant était soumis à la poursuite par voie de faillite en sa qualité de chef, inscrit au Registre du commerce, de la raison de commerce individuelle "A______, C______". Cet assujettissement a perduré six mois après que la radiation de cette inscription eut été publiée le ______ 2018 dans la FOSC, soit jusqu'au ______ 2018. Au moment où la poursuite pour effets de change a été introduite par le dépôt auprès de l'Office, le ______ 2018 également, d'une réquisition de poursuite ad hoc, accompagnée de l'effet de change invoqué, le plaignant était donc encore soumis à la poursuite par voie de faillite. Le fait qu'il ne l'ait plus été au moment de la notification du commandement de payer demeure sans influence sur la validité de la poursuite pour effets de change. Mal fondée, la plainte doit donc être rejetée.</w:t>
      </w:r>
    </w:p>
    <w:p>
      <w:r>
        <w:t>- 4/5 -</w:t>
      </w:r>
    </w:p>
    <w:p>
      <w:r>
        <w:t>A/3326/2018-CS</w:t>
      </w:r>
    </w:p>
    <w:p>
      <w:r>
        <w:rPr>
          <w:b/>
        </w:rPr>
        <w:t>E. 3.1</w:t>
      </w:r>
    </w:p>
    <w:p>
      <w:r>
        <w:t>La procédure de plainte est en principe gratuite (art. 20a al. 2 ch. 5 LP et art. 61 al. 2 let. a OELP) et ne peut donner lieu à l'octroi de dépens (art. 62 al. 2 OELP).</w:t>
      </w:r>
    </w:p>
    <w:p>
      <w:r>
        <w:t>Des émoluments et débours peuvent toutefois être prélevés si une partie ou son représentant use de procédés téméraires ou de mauvaise foi (art. 20a al. 1 ch. 5 LP).</w:t>
      </w:r>
    </w:p>
    <w:p>
      <w:r>
        <w:rPr>
          <w:b/>
        </w:rPr>
        <w:t>E. 3.2</w:t>
      </w:r>
    </w:p>
    <w:p>
      <w:r>
        <w:t>L'intimée considère en l'occurrence que, dans la mesure où le plaignant ne pouvait ignorer avoir été inscrit au Registre du commerce en qualité de chef d'une raison de commerce individuelle et où son mandataire devait en réaliser les conséquences, le dépôt de la plainte doit être qualifié de procédé téméraire ou de mauvaise foi. Au vu de l'extrême brièveté du délai de plainte (art. 20 LP), il ne saurait toutefois être reproché en l'espèce au plaignant ou à son conseil de ne pas avoir correctement évalué les conséquences de son inscription passée au Registre du commerce. La durée par définition très brève de la procédure de plainte (art. 20 LP) permet par ailleurs de douter que le plaignant ait poursuivi l'objectif de gagner du temps. Il n'y a donc pas lieu à perception d'émoluments ou de débours. * * * * *</w:t>
      </w:r>
    </w:p>
    <w:p>
      <w:r>
        <w:t>- 5/5 -</w:t>
      </w:r>
    </w:p>
    <w:p>
      <w:r>
        <w:t>A/3326/2018-CS PAR CES MOTIFS, La Chambre de surveillance : A la forme : Déclare recevable la plainte formée le ______ 2018 par A______ contre le commandement de payer, poursuite pour effets de change n° 1______, notifié le ______ 2018. Au fond : La rejette. Siégeant : Monsieur Patrick CHENAUX, président; Messieurs Georges ZUFFEREY et Claude MARCET,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