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DCSO/50/2007 vom 1. Februar 2007</w:t>
      </w:r>
    </w:p>
    <w:p>
      <w:r>
        <w:t>GE Cour de justice, 2007-02-01, FR</w:t>
      </w:r>
    </w:p>
    <w:p>
      <w:r>
        <w:rPr>
          <w:b/>
        </w:rPr>
        <w:t xml:space="preserve">Quelle: </w:t>
      </w:r>
      <w:r>
        <w:t>https://mcp.opencaselaw.ch/entscheid/ge_gerichte_DCSO_50_2007</w:t>
      </w:r>
    </w:p>
    <w:p>
      <w:r>
        <w:t>FR: GE_GERICHTE DCSO/50/2007 du 1 février 2007</w:t>
      </w:r>
    </w:p>
    <w:p>
      <w:r>
        <w:t>IT: GE_GERICHTE DCSO/50/2007 del 1 febbraio 2007</w:t>
      </w:r>
    </w:p>
    <w:p>
      <w:pPr>
        <w:pStyle w:val="Heading2"/>
      </w:pPr>
      <w:r>
        <w:t>Regeste</w:t>
      </w:r>
    </w:p>
    <w:p>
      <w:r>
        <w:t>Résumé: La commission de surveillance a déjà statué sur les griefs allégués par le plaignant dans le cadre d'une précédente décision entrée en force (ne bis in idem). Recours au Tribunal fédéral interjeté le 20 février 2007 admis; décision annulée et cause renvoyée à la CSO (arrêt du Tribunal Fédéral du 17 août 2007;5A_35/2007). Nouvelle décision rendue le 25 octobre 2007 (DCSO/499/07).</w:t>
      </w:r>
    </w:p>
    <w:p>
      <w:pPr>
        <w:pStyle w:val="Heading2"/>
      </w:pPr>
      <w:r>
        <w:t>Erwägungen</w:t>
      </w:r>
    </w:p>
    <w:p>
      <w:r>
        <w:rPr>
          <w:b/>
        </w:rPr>
        <w:t>E. 1</w:t>
      </w:r>
    </w:p>
    <w:p>
      <w:r>
        <w:t>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 plainte doit être déposée dans les dix jours de celui où le plaignant a eu connaissance de la mesure (art. 17 al. 2 LP).</w:t>
      </w:r>
    </w:p>
    <w:p>
      <w:r>
        <w:t>Une saisie de revenus est une mesure sujette à plainte, que le débiteur poursuivi a qualité pour attaquer par cette voie, dans le délai prescrit, et même en tout temps s’il fait valoir une atteinte flagrante à son minimum vital, constitutive de nullité (art. 22 LP ; ATF 114 III 51, 110 III 30 consid. 2, 108 III 60 consid. 3, 105 III 49).</w:t>
      </w:r>
    </w:p>
    <w:p>
      <w:r>
        <w:t>En l'espèce, force est de retenir, à teneur de la plainte, que le plaignant fait valoir une telle atteinte.</w:t>
      </w:r>
    </w:p>
    <w:p>
      <w:r>
        <w:t>La plainte sera en conséquence déclarée recevable. 2.a. A teneur de l'article 93 LP, tous les revenus du travail,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w:t>
      </w:r>
    </w:p>
    <w:p>
      <w:r>
        <w:t>- 4 - jurisprudence sont ceux d'un poursuivi moyen et des membres d'une famille moyenne. Ils doivent toutefois tenir compte des circonstances objectives et non subjectives, particulières au poursuivi (ATF non publié du 21 juin 2002, 7B.77/2002 ; ATF 108 III 60 consid. 3). Ces revenus peuvent être saisis pour un an au plus à compter de l'exécution de la saisie. Si, durant ce délai, l'office a connaissance d'une modification déterminante pour le montant de la saisie, il adapte l'ampleur de la saisie aux nouvelles circonstances. 2.b. Le minimum vital d’un débiteur, qui doit être fixé en fonction des circonstances de fait existant lors de l’exécution de la saisie ou du séquestre, est déterminé sur la base des normes d’insaisissabilité édictées par l’autorité de surveillance pour le canton de Genève et en vigueur au jour de l’exécution de la saisie.</w:t>
      </w:r>
    </w:p>
    <w:p>
      <w:r>
        <w:t>Selon les normes d’insaisissabilité pour l’année 2006 applicable en l'espèce -étant relevé que ces normes n'ont pas été modifiées pour l'année 2007-, pour le calcul du minimum vital, il convient d’ajouter à la base mensuelle (ch. I) le loyer effectif du logement du débiteur et les frais de chauffage (ch. II.1). Il en va de même pour les cotisations d’assurance maladie (ch. II.3) et pour les dépenses pour soins médicaux non couvertes par les assurances (ch. II.8), de même que les dépenses indispensables à l’exercice d’une activité professionnelle, tels que frais de transport ou de repas pris en dehors du domicile (ch. II.4). En revanche, les frais d’éclairage, de courant électrique ou de gaz de cuisson, tout comme les frais d’alimentation en eau, sont inclus dans la base mensuelle et ne doivent donc pas être pris en compte. Il en va de même des frais de téléphone. 2.c. En l'espèce, le plaignant fait grief à l'Office de ne pas avoir tenu compte, dans le calcul du minimum vital, de sa prime d'assurance maladie complémentaire et de ses frais professionnels.</w:t>
      </w:r>
    </w:p>
    <w:p>
      <w:r>
        <w:t>La Commission de céans relève que, dans une plainte du 18 mars 2005 dirigée contre une décision de l'Office fixant la quotité saisissable à l'encontre du plaignant à 2'873 fr. par mois dans le cadre de diverses poursuites formant la série n° 04 267295 K, le précité formulait déjà les mêmes griefs.</w:t>
      </w:r>
    </w:p>
    <w:p>
      <w:r>
        <w:t>Par décision du 9 juin 2005 (DCSO/347/2005), la Commission de céans a rejeté la plainte, considérant, en particulier, que seules les primes de l'assurance maladie obligatoire, soit pour une couverture de base, peuvent être prises en compte dans le calcul du minimum vital (SJ 2000 II 217 ; ATF non publié du 23 octobre 2003 rendu dans la cause Z., 7B.225/2003) et qu'il n'y avait pas lieu, in casu, de faire une exception au motif que le poursuivi, s'il doit renoncer à cette assurance, ne pourra plus à l'avenir, vu son état de santé, contracter une assurance complémentaire (cf. consid. 4.c.). S'agissant des frais professionnels, dite Commission a rappelé que les frais d'acquisition du revenu d'un indépendant, pour autant qu'ils n'aient pas été intégrés dans le minimum vital, doivent aussi être déduits, dans la mesure où il faut tenir compte de ce que les frais nécessaires à la</w:t>
      </w:r>
    </w:p>
    <w:p>
      <w:r>
        <w:t>- 5 - réalisation du revenu professionnel, c'est-à-dire le coût de revient, soit aussi couvert par les recettes que fait entrer le débiteur (ATF 112 III 19, JdT 1988 II 118 et les arrêts cités). Elle a toutefois expliqué que cette définition impliquait que le poursuivi réalise, au titre d'indépendant, un revenu, ce qui n'était pas le cas en l'espèce et que si les efforts déployés par le plaignant étaient louables et participaient à son équilibre, le coût de cette activité ne saurait être supporté par ses créanciers (cf. consid. 5.). Cette décision est entrée en force.</w:t>
      </w:r>
    </w:p>
    <w:p>
      <w:r>
        <w:t>Le 9 juin 2005, le plaignant a déposé une nouvelle plainte, dirigée cette fois contre le procès-verbal de saisie, série n°04 267295 K, qui lui avait été communiqué le 31 mai 2005, dans laquelle il faisait valoir les mêmes griefs que dans sa première plainte. Par décision du 11 août 2006 (DCSO/444/2006), la Commission de céans a constaté que cette seconde plainte était devenue sans objet et l'a rayée du rôle. Par arrêt du 7 octobre 2005 (7B.162/2005), le Tribunal fédéral a rejeté le recours formé par le plaignant contre cette décision, considérant qu'en vertu du principe res judicata pro veritate habetur, une décision cantonale entrée en force ne peut être réexaminée (ne bis in idem) si ce n'est dans le cadre étroit de la procédure de révision (ATF 127 III 496 consid. 3a ; Fabienne Hohl, Procédure civile, Tome I, n° 1289 ss).</w:t>
      </w:r>
    </w:p>
    <w:p>
      <w:r>
        <w:t>Aujourd'hui, et pour la troisième fois, le plaignant fait valoir les mêmes griefs.</w:t>
      </w:r>
    </w:p>
    <w:p>
      <w:r>
        <w:t>Partant, sa plainte ne peut être que rejetée en vertu des principes rappelés dans l'arrêt précité, aucun motif de révision n'étant au demeurant réalisé.</w:t>
      </w:r>
    </w:p>
    <w:p>
      <w:r>
        <w:rPr>
          <w:b/>
        </w:rPr>
        <w:t>E. 3</w:t>
      </w:r>
    </w:p>
    <w:p>
      <w:r>
        <w:t>La saisie exécutée à l'encontre du plaignant n'ayant pas été attaquée par les créanciers poursuivants, la Commission de céans n'examinera pas si les charges retenues par l'Office et non contestées par le précité sont justifiées (art. 20a al. 2 ch. 3 LP).</w:t>
      </w:r>
    </w:p>
    <w:p>
      <w:r>
        <w:rPr>
          <w:b/>
        </w:rPr>
        <w:t>E. 4</w:t>
      </w:r>
    </w:p>
    <w:p>
      <w:r>
        <w:t>Il sera rappelé ici au plaignant et à son conseil que la partie ou son représentant qui use de procédés téméraires ou de mauvaise foi peut être condamné à une amende de 1'500 fr. au plus ainsi qu'au paiement des émoluments et des débours (art. 20a al. 2 ch. 5 LP).</w:t>
      </w:r>
    </w:p>
    <w:p>
      <w:r>
        <w:t>La Commission de céans renoncera cependant, dans la présente cause, à mettre une amende à leur charge. * * * * *</w:t>
      </w:r>
    </w:p>
    <w:p>
      <w:r>
        <w:t>- 6 -</w:t>
      </w:r>
    </w:p>
    <w:p>
      <w:r>
        <w:t>P A R C E S M O T I F S , L A C O M M I S S I O N D E S U R V E I L L A N C E S I É G E A N T E N S E C T I O N : A la forme : Déclare recevable la plainte formée le 1er décembre 2006 par M. B______ contre la saisie exécutée à son encontre dans le cadre des poursuites formant la série n° 05 xxxx65 N. Au fond : 1. La rejette. 2. Déboute les parties de toutes autres conclusions.</w:t>
      </w:r>
    </w:p>
    <w:p>
      <w:r>
        <w:t>Siégeant : Mme Ariane WEYENETH, présidente ; Mme Florence CASTELLA et</w:t>
      </w:r>
    </w:p>
    <w:p>
      <w:r>
        <w:t>M. Denis MATHEY, juges assesseur-e-s. Au nom de la Commission de surveillance :</w:t>
      </w:r>
    </w:p>
    <w:p>
      <w:r>
        <w:t>Filippina MORABITO Ariane WEYENETH</w:t>
      </w:r>
    </w:p>
    <w:p>
      <w:r>
        <w:t>Greffière : Présidente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