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DCSO/4/2016 vom 4. Januar 2016</w:t>
      </w:r>
    </w:p>
    <w:p>
      <w:r>
        <w:t>GE Cour de justice, 2016-01-04, FR</w:t>
      </w:r>
    </w:p>
    <w:p>
      <w:r>
        <w:rPr>
          <w:b/>
        </w:rPr>
        <w:t xml:space="preserve">Quelle: </w:t>
      </w:r>
      <w:r>
        <w:t>https://mcp.opencaselaw.ch/entscheid/ge_gerichte_DCSO_4_2016</w:t>
      </w:r>
    </w:p>
    <w:p>
      <w:r>
        <w:t>FR: GE_GERICHTE DCSO/4/2016 du 4 janvier 2016</w:t>
      </w:r>
    </w:p>
    <w:p>
      <w:r>
        <w:t>IT: GE_GERICHTE DCSO/4/2016 del 4 gennaio 2016</w:t>
      </w:r>
    </w:p>
    <w:p>
      <w:pPr>
        <w:pStyle w:val="Heading2"/>
      </w:pPr>
      <w:r>
        <w:t>Erwägungen</w:t>
      </w:r>
    </w:p>
    <w:p>
      <w:r>
        <w:rPr>
          <w:b/>
        </w:rPr>
        <w:t>E. 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paraissait douteux que la continuation de la poursuite ait été requise dans les six mois suivant la radiation du poursuivi du registre du commerce. La question de la validité des actes de</w:t>
      </w:r>
    </w:p>
    <w:p>
      <w:r>
        <w:t>- 3/4 -</w:t>
      </w:r>
    </w:p>
    <w:p>
      <w:r>
        <w:t>A/4065/2015-CS poursuite ressortissant de la compétence de la Chambre de céans, cette dernière entrera en matière sur la demande du Tribunal (art. 10 al. 1 LaLP).</w:t>
      </w:r>
    </w:p>
    <w:p>
      <w:r>
        <w:rPr>
          <w:b/>
        </w:rPr>
        <w:t>E. 2</w:t>
      </w:r>
    </w:p>
    <w:p>
      <w:r>
        <w:t>Doit être tranchée la question de savoir si la commination de faillite, dans la poursuite n° 14 xxxx45 P, est entachée de nullité.</w:t>
      </w:r>
    </w:p>
    <w:p>
      <w:r>
        <w:rPr>
          <w:b/>
        </w:rPr>
        <w:t>E. 2.1</w:t>
      </w:r>
    </w:p>
    <w:p>
      <w:r>
        <w:t>La poursuite se continue par voie de faillite lorsque le débiteur est inscrit au registre du commerce en qualité "de chef d'une raison individuelle (art. 934 et 935 CO)" (art. 39 al. 1 ch. 1 LP). Le débiteur inscrit au registre du commerce en cette qualité et qui en est radié demeure sujet à la poursuite par voie de faillite durant les six mois suivant la publication de sa radiation dans la FOSC,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w:t>
      </w:r>
    </w:p>
    <w:p>
      <w:r>
        <w:rPr>
          <w:b/>
        </w:rPr>
        <w:t>E. 2.2</w:t>
      </w:r>
    </w:p>
    <w:p>
      <w:r>
        <w:t>En l'espèce, l'inscription du poursuivi en qualité de chef d'une raison individuelle a été radiée le xx novembre 2014, date de la publication dans la FOSC. Partant, il est demeuré sujet à la poursuite par voie de faillite jusqu'au</w:t>
      </w:r>
    </w:p>
    <w:p>
      <w:r>
        <w:rPr>
          <w:b/>
        </w:rPr>
        <w:t>E. 3</w:t>
      </w:r>
    </w:p>
    <w:p>
      <w:r>
        <w:t>mai 2015, le dies a quo de la prolongation de six mois des effets de l'inscription au registre du commerce étant le lendemain de la publication de sa radiation (cf. RIGOT, CR-LP, ad art. 40 n° 7). C'est donc à bon droit que l'Office lui a notifié une commination de faillite, la continuation de la poursuite n° 14 xxxx45 P ayant été requise le 21 avril 2015, soit avant l'expiration du délai de six mois fixé par l'art. 40 al. 1 LP.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Par conséquent, la commination de faillite, dans la poursuite n° 14 xxxx45 P, est valable. * * * * *</w:t>
      </w:r>
    </w:p>
    <w:p>
      <w:r>
        <w:t>- 4/4 -</w:t>
      </w:r>
    </w:p>
    <w:p>
      <w:r>
        <w:t>A/4065/2015-CS PAR CES MOTIFS, La Chambre de surveillance : A la forme : Entre en matière sur la requête formée le 20 novembre 2015 (cause C/21012/2015-9) par le Tribunal de première instance dans le cadre de la poursuite n° 14 xxxx45 P. Au fond : Constate la validité de la commination de faillite notifiée le 6 août 2015 dans la poursuite précitée.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