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DCSO/498/2017 vom 21. September 2017</w:t>
      </w:r>
    </w:p>
    <w:p>
      <w:r>
        <w:t>GE Cour de justice, 2017-09-21, FR</w:t>
      </w:r>
    </w:p>
    <w:p>
      <w:r>
        <w:rPr>
          <w:b/>
        </w:rPr>
        <w:t xml:space="preserve">Quelle: </w:t>
      </w:r>
      <w:r>
        <w:t>https://mcp.opencaselaw.ch/entscheid/ge_gerichte_DCSO_498_2017</w:t>
      </w:r>
    </w:p>
    <w:p>
      <w:r>
        <w:t>FR: GE_GERICHTE DCSO/498/2017 du 21 septembre 2017</w:t>
      </w:r>
    </w:p>
    <w:p>
      <w:r>
        <w:t>IT: GE_GERICHTE DCSO/498/2017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w:t>
      </w:r>
    </w:p>
    <w:p>
      <w:r>
        <w:t>- 3/5 -</w:t>
      </w:r>
    </w:p>
    <w:p>
      <w:r>
        <w:t>A/1584/2017-CS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2.3</w:t>
      </w:r>
    </w:p>
    <w:p>
      <w:r>
        <w:t>Il ressort en l'espèce du dossier que l'Office n'a procédé, dans le cadre de la poursuite litigieuse, à aucune mesure entre le 7 novembre 2016, date de réception de la réquisition de continuer ladite poursuite, et le 22 mai 2017, date à laquelle le débiteur a été entendu sur sa situation personnelle et financière, soit un délai de six mois et demi. Même à suivre l'argumentation de l'Office, selon laquelle il aurait pu être procédé à la saisie – nonobstant l'absence d'avis de saisie – lors de l'audition du débiteur précédemment fixée au 22 novembre 2016, force est de constater qu'il est demeuré inactif du 26 décembre 2016 – date de fin de l'incapacité de travail du débiteur – au 22 mai 2017, soit plus de quatre mois. Manifestement incompatibles avec l'exigence de célérité et de diligence imposée par l'art. 89 LP, de tels délais sont constitutifs d'un retard non justifié.</w:t>
      </w:r>
    </w:p>
    <w:p>
      <w:r>
        <w:t>- 4/5 -</w:t>
      </w:r>
    </w:p>
    <w:p>
      <w:r>
        <w:t>A/1584/2017-CS</w:t>
      </w:r>
    </w:p>
    <w:p>
      <w:r>
        <w:t>Bien fondée dans son principe, la plainte a toutefois perdu son objet avec l'exécution – infructueuse – de la saisie le 22 mai 2017 et l'envoi consécutif au plaignant, le 24 mai 2017, d'un acte de défaut de biens.</w:t>
      </w:r>
    </w:p>
    <w:p>
      <w:r>
        <w:rPr>
          <w:b/>
        </w:rPr>
        <w:t>E. 3</w:t>
      </w:r>
    </w:p>
    <w:p>
      <w:r>
        <w:t>La procédure de plainte est gratuite (art. 20a al. 2 ch. 5 LP et art. 61 al. 2 let. a OELP) et il ne peut être alloué aucuns dépens dans cette procédure (art. 62 al. 2 OELP). * * * * *</w:t>
      </w:r>
    </w:p>
    <w:p>
      <w:r>
        <w:t>- 5/5 -</w:t>
      </w:r>
    </w:p>
    <w:p>
      <w:r>
        <w:t>A/1584/2017-CS PAR CES MOTIFS, La Chambre de surveillance : A la forme : Déclare recevable la plainte formée le 2 mai 2017 par A______ pour retard injustifié de la part de l'Office des poursuites dans la poursuite n° 16 xxxx90 T. Au fond : Constate qu'elle est devenue sans objet. Raye en conséquence la cause du rôle. Siégeant : Monsieur Patrick CHENAUX, président; Messieurs Michel BERTSCHY et Claude MARCET,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