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DCSO/495/2017 vom 21. September 2017</w:t>
      </w:r>
    </w:p>
    <w:p>
      <w:r>
        <w:t>GE Cour de justice, 2017-09-21, FR</w:t>
      </w:r>
    </w:p>
    <w:p>
      <w:r>
        <w:rPr>
          <w:b/>
        </w:rPr>
        <w:t xml:space="preserve">Quelle: </w:t>
      </w:r>
      <w:r>
        <w:t>https://mcp.opencaselaw.ch/entscheid/ge_gerichte_DCSO_495_2017</w:t>
      </w:r>
    </w:p>
    <w:p>
      <w:r>
        <w:t>FR: GE_GERICHTE DCSO/495/2017 du 21 septembre 2017</w:t>
      </w:r>
    </w:p>
    <w:p>
      <w:r>
        <w:t>IT: GE_GERICHTE DCSO/495/2017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A/1726/2017-CS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Il ressort en l'espèce du dossier que, comme il le reconnaît du reste lui-même, l'Office a tardé de manière injustifiée dans le traitement de la réquisition de continuer la poursuite datée du 3 février 2016, et ce à plusieurs égards.</w:t>
      </w:r>
    </w:p>
    <w:p>
      <w:r>
        <w:t>En premier lieu, six mois se sont écoulés entre la réception par l'Office de cette réquisition et l'envoi au poursuivi d'un avis de saisie, ce qui est manifestement incompatible avec l'exigence de célérité imposée par l'art. 89 LP.</w:t>
      </w:r>
    </w:p>
    <w:p>
      <w:r>
        <w:t>En deuxième lieu, l'Office a fait preuve de lenteur dans l'exécution proprement dite de la saisie, procédant par convocations successives, et ce pour des dates éloignées de plusieurs semaines, plutôt qu'à une saisie au domicile du débiteur.</w:t>
      </w:r>
    </w:p>
    <w:p>
      <w:r>
        <w:t>En troisième et dernier lieu, l'acte de défaut de biens n'a été établi et adressé à la collectivité publique poursuivante que plus de deux mois après que l'Office se soit</w:t>
      </w:r>
    </w:p>
    <w:p>
      <w:r>
        <w:t>- 4/5 -</w:t>
      </w:r>
    </w:p>
    <w:p>
      <w:r>
        <w:t>A/1726/2017-CS assuré que ce dernier avait quitté la Suisse, et sans qu'aucune autre démarche ne soit accomplie dans l'intervalle.</w:t>
      </w:r>
    </w:p>
    <w:p>
      <w:r>
        <w:t>La plainte est cependant devenue sans objet en cours de procédure, avec la délivrance par l'Office d'un acte de défaut de biens au plaignant.</w:t>
      </w:r>
    </w:p>
    <w:p>
      <w:r>
        <w:rPr>
          <w:b/>
        </w:rPr>
        <w:t>E. 3</w:t>
      </w:r>
    </w:p>
    <w:p>
      <w:r>
        <w:t>La procédure de plainte est gratuite (art. 20a al. 2 ch. 5 LP et art. 61 al. 2 let. a OELP) et il ne peut être alloué aucuns dépens dans cette procédure (art. 62 al. 2 OELP). * * * * *</w:t>
      </w:r>
    </w:p>
    <w:p>
      <w:r>
        <w:t>- 5/5 -</w:t>
      </w:r>
    </w:p>
    <w:p>
      <w:r>
        <w:t>A/1726/2017-CS PAR CES MOTIFS, La Chambre de surveillance : A la forme : Déclare recevable la plainte formée le 9 mai 2017 par l'ETAT DE VAUD pour retard injustifié de la part de l'Office des poursuites dans la poursuite n° 15 xxxx50 Y. Au fond : Constate qu'elle est devenue sans objet. Raye en conséquence la cause du rôle. Siégeant : Monsieur Patrick CHENAUX, président; Messieurs Michel BERTSCHY et Claude MARCET,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