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DCSO/495/2010 vom 11. November 2010</w:t>
      </w:r>
    </w:p>
    <w:p>
      <w:r>
        <w:t>GE Cour de justice, 2010-11-11, FR</w:t>
      </w:r>
    </w:p>
    <w:p>
      <w:r>
        <w:rPr>
          <w:b/>
        </w:rPr>
        <w:t xml:space="preserve">Quelle: </w:t>
      </w:r>
      <w:r>
        <w:t>https://mcp.opencaselaw.ch/entscheid/ge_gerichte_DCSO_495_2010</w:t>
      </w:r>
    </w:p>
    <w:p>
      <w:r>
        <w:t>FR: GE_GERICHTE DCSO/495/2010 du 11 novembre 2010</w:t>
      </w:r>
    </w:p>
    <w:p>
      <w:r>
        <w:t>IT: GE_GERICHTE DCSO/495/2010 del 11 novembre 2010</w:t>
      </w:r>
    </w:p>
    <w:p>
      <w:pPr>
        <w:pStyle w:val="Heading2"/>
      </w:pPr>
      <w:r>
        <w:t>Regeste</w:t>
      </w:r>
    </w:p>
    <w:p>
      <w:r>
        <w:t>Résumé: Destitution d'un fonctionnaire affecté à la salle des ventes. Rupture du lien de confiance.</w:t>
      </w:r>
    </w:p>
    <w:p>
      <w:pPr>
        <w:pStyle w:val="Heading2"/>
      </w:pPr>
      <w:r>
        <w:t>Erwägungen</w:t>
      </w:r>
    </w:p>
    <w:p>
      <w:r>
        <w:rPr>
          <w:b/>
        </w:rPr>
        <w:t>E. 14</w:t>
      </w:r>
    </w:p>
    <w:p>
      <w:r>
        <w:t>n° 33 ; Louis Dallèves, in CR-LP, ad art. 14 n° 4 ; DCSO/736/2006 du 16 novembre 2006 ; DCSO du 26 mai 2005 dans la cause A/1330/2001 consid. 8.b ; DCSO du 28 août 2003 dans la cause A/939/2003). 4.b. En l'espèce, M. A______ a commis fautivement la violation retenue à son encontre. Il a agi consciemment et volontairement, lorsqu'il s'est rendu dans le</w:t>
      </w:r>
    </w:p>
    <w:p>
      <w:r>
        <w:t>- 8 - local sécurisé de la salle des ventes afin de se servir d'une boucle de bracelet de montre. 5. L'art. 14 al. 2 LP prévoit quatre peines disciplinaires : la réprimande, l'amende jusqu'à 1'000 fr., la suspension pour six mois au plus et la destitution.</w:t>
      </w:r>
    </w:p>
    <w:p>
      <w:r>
        <w:t>Le choix de la sanction à prononcer est soumis au principe de la proportionnalité et ne dépend pas seulement des circonstances subjectives de la violation incriminée ou de la prévention générale, mais aussi de l'intérêt objectif à la restauration dans l'esprit du public du rapport de confiance qui a été compromis par la violation du devoir de fonction (Pierre-Robert Gilliéron, op. cit. ad art. 14 n° 17). La gravité de la sanction disciplinaire est ainsi fonction de la nature des intérêts administratifs violés, éléments objectifs, et de la mesure de la faute, critère subjectif. A cette fin, l'autorité de surveillance est limitée par le genre de sanctions prévues par l'art. 14 al. 2 LP, tout en étant libre d'infliger celle qui lui paraît la plus appropriée compte tenu de l'ensemble des circonstances (Franco Lorandi, op.cit. ad. art. 14 n° 40 et 42).</w:t>
      </w:r>
    </w:p>
    <w:p>
      <w:r>
        <w:t>Même si l'objet que M. A______ entendait s'approprier apparaît de faible valeur et que l'intéressé minimise les faits, il n'empêche que la faute commise par le mis en cause doit néanmoins être qualifiée de grave. En effet, M. A______ est affecté à la salle des ventes, soit à un service sensible où le degré de confiance dans le personnel doit être absolu, s'agissant de personnes ayant un accès direct aux actifs saisis ou découlant de faillites, objets qui ne sont pas forcément tous inventoriés avec précision. M. A______ a ainsi mis à néant la confiance placée en lui, dans l'exercice de ses fonctions.</w:t>
      </w:r>
    </w:p>
    <w:p>
      <w:r>
        <w:t>En raison de la nature de la faute et de sa gravité, la Commission de céans parvient à la conclusion que le lien de confiance, qui doit exister entre un ______ affecté au service des ventes et sa hiérarchie et sur lequel étaient, en l'occurrence, basées toutes les relations de travail au sein du service concerné, est définitivement et irrémédiablement rompu. Le maintien de M. A______ dans ses fonctions n'est par conséquent plus envisageable et il y a lieu de prononcer sa destitution de sa fonction de ______ affecté à la salle des ventes OP OF.</w:t>
      </w:r>
    </w:p>
    <w:p>
      <w:r>
        <w:t>Il n'appartient au demeurant pas à la Commission de céans de dire si, en raison de ses qualités professionnelles, M. A______ peut occuper un autre poste au sein de l'administration cantonale.</w:t>
      </w:r>
    </w:p>
    <w:p>
      <w:r>
        <w:t>La présente décision sera communiquée au Conseil d'Etat (art. 14 al. 2 LaLP).</w:t>
      </w:r>
    </w:p>
    <w:p>
      <w:r>
        <w:t>* * * * *</w:t>
      </w:r>
    </w:p>
    <w:p>
      <w:r>
        <w:t>- 9 -</w:t>
      </w:r>
    </w:p>
    <w:p>
      <w:r>
        <w:t>P A R C E S M O T I F S , L A C O M M I S S I O N D E S U R V E I L L A N C E S I É G E A N T E N P L E N U M : 1. Prononce la destitution de M. A______ de sa fonction de ______ OP/OF au sein de l'Office des poursuites, en application de l'art. 14 al. 2 ch. 4 LP. 2. Transmet la présente décision au Conseil d'Etat.</w:t>
      </w:r>
    </w:p>
    <w:p>
      <w:r>
        <w:t>Siégeant : Mme Ariane WEYENETH, présidente ; M. Philippe GUNTZ, juge ; Mmes et MM. Didier BROSSET, Florence CASTELLA, Valérie CARERA, Christian CHAVAZ, Philipp GANZONI, Denis MATHEY, Philippe VEILLARD, juges assesseur(e)s, et Pascal JUNOD, juge assesseur suppléant.</w:t>
      </w:r>
    </w:p>
    <w:p>
      <w:r>
        <w:t>Au nom de la Commission de surveillance :</w:t>
      </w:r>
    </w:p>
    <w:p>
      <w:r>
        <w:t>Paulette DORMAN</w:t>
      </w:r>
    </w:p>
    <w:p>
      <w:r>
        <w:t>Philippe GUNTZ Greffière :</w:t>
      </w:r>
    </w:p>
    <w:p>
      <w:r>
        <w:t>Juge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