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DCSO/494/2020 vom 20. Januar 2020</w:t>
      </w:r>
    </w:p>
    <w:p>
      <w:r>
        <w:t>GE Cour de justice, 2020-01-20, FR</w:t>
      </w:r>
    </w:p>
    <w:p>
      <w:r>
        <w:rPr>
          <w:b/>
        </w:rPr>
        <w:t xml:space="preserve">Quelle: </w:t>
      </w:r>
      <w:r>
        <w:t>https://mcp.opencaselaw.ch/entscheid/ge_gerichte_DCSO_494_2020</w:t>
      </w:r>
    </w:p>
    <w:p>
      <w:r>
        <w:t>FR: GE_GERICHTE DCSO/494/2020 du 20 janvier 2020</w:t>
      </w:r>
    </w:p>
    <w:p>
      <w:r>
        <w:t>IT: GE_GERICHTE DCSO/494/2020 del 20 gennaio 2020</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d'une saisie ou d'un séquestre.</w:t>
      </w:r>
    </w:p>
    <w:p>
      <w:r>
        <w:t>- 5/10 -</w:t>
      </w:r>
    </w:p>
    <w:p>
      <w:r>
        <w:t>A/3334/2020-CS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n. 25 et 26 ad art. 17 LP; DIETH/WOHL, in KUKO SchKG, 2ème éd., 2014, n. 11 et 12 ad art. 17 LP).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le plaignant ainsi que ce qu'il demande (ERARD, op. cit., n. 32 et 33 ad art. 17 LP).</w:t>
      </w:r>
    </w:p>
    <w:p>
      <w:r>
        <w:rPr>
          <w:b/>
        </w:rPr>
        <w:t>E. 1.2</w:t>
      </w:r>
    </w:p>
    <w:p>
      <w:r>
        <w:t>Lorsque le débiteur entend se plaindre d'une saisie prétendument contraire aux art. 92 et 93 LP, le délai de dix jours prévu par l'art. 17 al. 2 LP commence à courir avec la communication du procès-verbal de saisie (ATF 107 III 7 consid. 2), avec pour conséquence qu'il ne peut en principe être entré en matière sur une plainte déposée avant cette communication (en ce sens : JENT-SORENSEN, in BSK SchKG I, 2010, n. 19 ad art. 112 LP; ZONDLER, in Kommentar SchKG, 2017, KREN KOSTKIEWICZ/VOCK [éd.], n. 4 ad art. 114 LP). A l'inverse, le débiteur est censé avoir renoncé à se prévaloir de ce moyen s'il ne s'est pas adressé à l'autorité de surveillance dans les dix jours suivants la communication du procès-verbal de saisie. La jurisprudence a cependant tempéré cette exigence et admis, pour des raisons d'humanité et de décence, que la nullité d'une saisie peut être prononcée, malgré la tardiveté de la plainte, lorsque la mesure attaquée prive le débiteur et les membres de sa famille des objets indispensables au vivre et au coucher. L'exception ainsi faite à la règle a été étendue aux cas où la saisie porte une atteinte flagrante au minimum vital, à telle enseigne que son maintien risquerait de placer le débiteur dans une situation absolument intolérable (ATF 97 III 7, JdT 1973 II 20 ss; cf. ég. ATF 114 III 78, JdT 1990 II 162 ss). En cas de séquestre, le débiteur pourra contester la décision fixant la part séquestrable de son salaire par la voie de la plainte dirigée contre le procès-verbal de séquestre (cf. OCHSNER, Exécution du séquestre, in JdT 2006 II 77ss, p. 118).</w:t>
      </w:r>
    </w:p>
    <w:p>
      <w:r>
        <w:rPr>
          <w:b/>
        </w:rPr>
        <w:t>E. 1.3</w:t>
      </w:r>
    </w:p>
    <w:p>
      <w:r>
        <w:t>En l'espèce, la plainte respecte les exigences minimales de forme prévues par la loi et émane du débiteur séquestré, soit d'une personne lésée ou exposée à l'être dans ses intérêts juridiquement protégés. Bien que le plaignant n'ait pas chiffré ses conclusions, on comprend de sa motivation qu'il conteste l'ampleur de la retenue opérée sur son salaire et qu'il souhaite la prise en compte, dans son minimum vital, de certaines charges écartées par l'Office.</w:t>
      </w:r>
    </w:p>
    <w:p>
      <w:r>
        <w:t>- 6/10 -</w:t>
      </w:r>
    </w:p>
    <w:p>
      <w:r>
        <w:t>A/3334/2020-CS Il ressort des explications de l'Office – non contestées par le plaignant – qu'à la mi-novembre 2020, le procès-verbal de séquestre n'avait pas encore été communiqué à ce dernier. Or, conformément aux principes rappelés supra, le délai pour former une plainte contre l'exécution du séquestre ne commencera à courir qu'une fois que ce procès-verbal aura été communiqué au plaignant. Il s'ensuit que la plainte est prématurée et donc irrecevable. Reste à examiner si le séquestre opéré au détriment du plaignant porte une atteinte flagrante à son minimum vital au point d'entraîner sa nullité.</w:t>
      </w:r>
    </w:p>
    <w:p>
      <w:r>
        <w:rPr>
          <w:b/>
        </w:rPr>
        <w:t>E. 2</w:t>
      </w:r>
    </w:p>
    <w:p>
      <w:r>
        <w:t>Le plaignant conteste le calcul de son minimum vital effectué par l'Office et l'étendue du séquestre exécuté sur son salaire. Il soutient par ailleurs que le séquestre ne serait pas entièrement fondé, dans la mesure où le montant des arriérés de contribution indiqué dans l'ordonnance de séquestre serait erroné. 2.1.1 Le séquestre est une mesure conservatoire urgente ayant pour but d'éviter que le débiteur ne dispose de ses biens pendant la durée d'une procédure de poursuite. Il est ordonné par le juge, qui doit mentionner dans son ordonnance, notamment, la créance pour laquelle le séquestre est ordonné et les objets à séquestrer (art. 274 al. 2 LP). Le séquestre est autorisé, entre autres exigences, si le requérant a rendu vraisemblable sa créance (art. 272 al. 1 ch. 1 LP).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5A_836/2010 du 2 février 2011 consid. 4.1.1 et les références citées).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qui contrôle la régularité formelle de l'ordonnance de séquestre, ainsi que les mesures proprement dites d'exécution du séquestre – prévues aux art. 92 à 109 LP, applicables par analogie par renvoi de l'art. 275 LP –, soit celles concernant la saisissabilité des biens (art. 92 ss LP), l'ordre de la saisie (art. 95 ss LP), la sauvegarde des biens saisis (art. 98 ss LP) et la procédure de revendication (art. 106 ss LP). Les griefs concernant les conditions de fond du séquestre doivent donc être soulevés dans la procédure d'opposition et ceux concernant l'exécution du séquestre dans la procédure de plainte (ATF 142 III 291 consid. 2.1; 129 III 203 consid. 2.2 et 2.3; arrêt du Tribunal fédéral 5A_925/2012 du 5 avril 2013 consid. 4.2 et 4.3).</w:t>
      </w:r>
    </w:p>
    <w:p>
      <w:r>
        <w:t>- 7/10 -</w:t>
      </w:r>
    </w:p>
    <w:p>
      <w:r>
        <w:t>A/3334/2020-CS 2.1.2 Conformément aux principes rappelés supra, la Chambre de surveillance n'est pas compétente pour statuer sur le bien-fondé du séquestre litigieux. Elle n'a donc pas à examiner la question de savoir si le montant de la créance figurant dans l'ordonnance de séquestre est justifié ou non. Seuls seront dès lors examinés les griefs du plaignant relatifs au calcul de son minimum vital par l'Office. 2.2.1 Selon l'art. 93 al. 1 LP – applicable par analogie au séquestre (art. 275 LP) –, tous les revenus du travail peuvent être saisis,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Ils doivent toutefois tenir compte des circonstances objectives, et non subjectives, particulières au poursuivi (ATF 134 III 323 consid. 2. et les références citées).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à Genève, sur les Normes d'insaisissabilité édictées par l'autorité de surveillance (ci-après : NI-2020; OCHSNER, Le minimum vital (art. 93 al. 1 LP), in SJ 2012 II p. 119 ss, 123; COLLAUD, Le minimum vital selon l'article 93 LP, in RFJ 2012 p. 299 ss, 303; arrêt du Tribunal fédéral 5A_919/2012 du 11 février 2013 consid. 4.3.1).</w:t>
      </w:r>
    </w:p>
    <w:p>
      <w:r>
        <w:t>Les dépenses nécessaires à l'entretien du débiteur se composent en premier lieu d'une base mensuelle d'entretien, fixée selon la situation familiale du débiteur, qui doit lui permettre de couvrir ses dépenses élémentaires, parmi lesquelles l'alimentation, les vêtements et le linge y compris leur entretien, les soins corporels et de santé, l'entretien du logement, les assurances privées, les frais culturels et les dépenses pour l'éclairage, le courant électrique ou le gaz pour cuisiner (art. I NI-2020). La base mensuelle d'entretien peut être réduite en raison du coût de la vie inférieur dans le pays du domicile du débiteur par rapport à la Suisse; ainsi, à Genève, une réduction de 15% pour un débiteur domicilié en France est admise (OCHSNER, Le minimum vital (art. 93 al. 1 LP), in SJ 2012 II 119, p. 135; ACJC/1326/2016 du 7 octobre 2016 consid. 5.1.1; ACJC/407/2015 du 10 avril 2015 consid. 5.2.1).</w:t>
      </w:r>
    </w:p>
    <w:p>
      <w:r>
        <w:t>- 8/10 -</w:t>
      </w:r>
    </w:p>
    <w:p>
      <w:r>
        <w:t>A/3334/2020-CS D'autres charges indispensables, comme les frais de logement y compris les frais de chauffage et charges accessoires (art. II.1 et II.2 NI-2020), les dépenses indispensables à l'exercice d'une profession (art. II.4 NI-2020) ou encore les primes d'assurance-maladie obligatoire (art. II.3 NI-2020) doivent être ajoutées à cette base mensuelle d'entretien, pour autant qu'elles soient effectivement payées (OCHSNER, in CR-LP, 2005, n. 82 ad art. 93 LP). Les frais liés à l'entretien de l'enfant pendant l'exercice du droit de visite doivent être pris en considération dans le minimum vital du débiteur. Il faut ainsi déterminer le nombre de jours pendant lesquels s'exerce le droit de visite et y appliquer proportionnellement le montant de la base mensuelle d'entretien des enfants prévu par les Normes d'insaisissabilité (SJ 2000 II 214; arrêt du Tribunal fédéral 7B.145/2005 du 11 octobre 2005). En revanche, les impôts, les frais non strictement nécessaires, tels loisirs, vacances, frais et redevances radio-TV ou téléphone non inclus dans le montant de base, etc., ainsi que les primes d'assurances non obligatoires ne font pas partie du minimum vital (SJ 2000 II 213; BASTONS BULLETTI, in SJ 2007 II 84 ss, 88 ss; ATF 140 III 337 consid. 4.4). Pour les travailleurs domiciliés à l'étranger, qui sont soumis à l'impôt à la source, le calcul du montant saisissable devra tenir compte du salaire qui est effectivement perçu par le débiteur (art. III NI-2020; ATF 90 III 34). Les dettes que le débiteur rembourse chaque mois ne font pas partie de son minimum vital, quand bien même il aurait pris des engagements dans ce sens; il en est également ainsi des amendes et des acomptes versés par le poursuivi à la victime d'une infraction pénale au titre de la réparation du préjudice, même si de leur versement dépend un sursis octroyé par le juge pénal (OCHSNER, in CR LP, 2005, n. 157 ad art. 93 LP et les références citées). En revanche, les acomptes ou les mensualités payées pour l'acquisition ou la location d'objets de stricte nécessité (par ex. du mobilier) doivent être inclus dans la minimum vital, à la condition que, dans le premier cas, le vendeur se soit réservé la propriété de l'objet (arrêt du Tribunal fédéral 5A_684/2008 du 1er décembre 2018 consid. 2).</w:t>
      </w:r>
    </w:p>
    <w:p>
      <w:r>
        <w:t>2.2.2 En l'espèce, le plaignant critique le calcul de son minimum vital en tant que l'Office n'a pas tenu compte de certaines dépenses, à savoir le remboursement d'un prêt privé, contracté en août 2017 auprès du Fonds d'entraide H______, que le débiteur s'est engagé à rembourser à raison de 450 fr. par mois, le remboursement de l'assistance judiciaire, ainsi que les frais liés à l'exercice de son droit de visite. Ainsi que l'a retenu l'Office, les dettes que le débiteur rembourse mensuellement et qui ne portent pas sur l'acquisition ou sur la location d'objets de stricte nécessité n'ont pas à être intégrées dans le minimum vital. C'est donc à juste titre que le remboursement du prêt contracté par le plaignant en août 2017 a été écarté, quand bien même celui-ci s'est engagé à payer sa dette par acomptes mensuels de 450 fr.</w:t>
      </w:r>
    </w:p>
    <w:p>
      <w:r>
        <w:t>- 9/10 -</w:t>
      </w:r>
    </w:p>
    <w:p>
      <w:r>
        <w:t>A/3334/2020-CS C'est également à raison que le remboursement de l'assistance judiciaire n'a pas été inclus dans le budget du plaignant, étant observé qu'à teneur des pièces produites, les échéances mensuelles de 350 fr. ne sont plus payées depuis juin 2020. Par ailleurs, les frais assumés par le plaignant lorsqu'il exerce son droit de visite sur son fils D______ ont déjà été comptabilisés dans son minimum vital; le calcul de ce poste, détaillé par l'Office dans son rapport du 12 novembre 2020, n'a d'ailleurs fait l'objet d'aucune critique de la part du plaignant. Finalement, les griefs soulevés par le plaignant dans son courrier du 11 novembre 2020 ne sont pas fondés. Ses primes d'assurance-maladie ont en effet été incluses dans son minimum vital à hauteur de 358 fr. 60 par mois, de sorte qu'il a disposé des liquidités nécessaires pour s'acquitter de la facture trimestrielle relative aux primes d'octobre à décembre 2020. Il en va de même de la taxe d'habitation, qui a été comptabilisée à hauteur de 100 fr. 55 par mois (taxe 2020 / 12), étant relevé au surplus que les dettes d'impôts ne font pas partie du minimum vital. Dans ces conditions, l'on ne saurait reprocher à l'Office d'avoir séquestré le 13ème salaire du plaignant dans son intégralité. 2.2.3 Il résulte des considérations qui précèdent qu'en dépit du séquestre opéré à son détriment, le plaignant dispose des ressources suffisantes pour couvrir ses besoins minima et ceux de son fils, lesquels ont été correctement établis au vu des principes rappelés ci-avant. Dans la mesure où il ne porte pas une atteinte flagrante au minimum vital du plaignant, le séquestre litigieux n'est pas entaché de nullité. En définitive, la plainte, qui est irrecevable, s'avère également mal fondée.</w:t>
      </w:r>
    </w:p>
    <w:p>
      <w:r>
        <w:rPr>
          <w:b/>
        </w:rPr>
        <w:t>E. 3</w:t>
      </w:r>
    </w:p>
    <w:p>
      <w:r>
        <w:t>La procédure de plainte est gratuite et ne donne pas lieu à l'allocation de dépens (art. 20a al. 2 ch. 5 LP; 61 al. 2 let. a OELP).</w:t>
      </w:r>
    </w:p>
    <w:p>
      <w:r>
        <w:t>* * * * *</w:t>
      </w:r>
    </w:p>
    <w:p>
      <w:r>
        <w:t>- 10/10 -</w:t>
      </w:r>
    </w:p>
    <w:p>
      <w:r>
        <w:t>A/3334/2020-CS PAR CES MOTIFS, La Chambre de surveillance :</w:t>
      </w:r>
    </w:p>
    <w:p>
      <w:r>
        <w:t>Déclare irrecevable la plainte formée le 21 octobre 2020 par A______ dans le cadre de l'exécution du séquestre n° 1______. Siégeant : Madame Nathalie RAPP, présidente; Messieurs Frédéric HENSLER et Denis KELLER, juges assesseurs; Madame Christel HENZELIN, greffière.</w:t>
      </w:r>
    </w:p>
    <w:p>
      <w:r>
        <w:t>La présidente :</w:t>
      </w:r>
    </w:p>
    <w:p>
      <w:r>
        <w:t>Nathalie RAPP</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