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DCSO/490/2024 vom 18. November 2020</w:t>
      </w:r>
    </w:p>
    <w:p>
      <w:r>
        <w:t>GE Cour de justice, 2020-11-18, FR</w:t>
      </w:r>
    </w:p>
    <w:p>
      <w:r>
        <w:rPr>
          <w:b/>
        </w:rPr>
        <w:t xml:space="preserve">Quelle: </w:t>
      </w:r>
      <w:r>
        <w:t>https://mcp.opencaselaw.ch/entscheid/ge_gerichte_DCSO_490_2024</w:t>
      </w:r>
    </w:p>
    <w:p>
      <w:r>
        <w:t>FR: GE_GERICHTE DCSO/490/2024 du 18 novembre 2020</w:t>
      </w:r>
    </w:p>
    <w:p>
      <w:r>
        <w:t>IT: GE_GERICHTE DCSO/490/2024 del 18 novembre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a priori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formellement recevable.</w:t>
      </w:r>
    </w:p>
    <w:p>
      <w:r>
        <w:rPr>
          <w:b/>
        </w:rPr>
        <w:t>E. 2</w:t>
      </w:r>
    </w:p>
    <w:p>
      <w:r>
        <w:t>consid. 2b; arrêts du Tribunal fédéral 5A_250-252/2015 du 10 septembre 2015 consid. 4.1; 5A_76/2013 du 15 mars 2013 consid. 3.1; 5A_890/2012 du 5 mars 2013 consid. 5.3).</w:t>
      </w:r>
    </w:p>
    <w:p>
      <w:r>
        <w:rPr>
          <w:b/>
        </w:rPr>
        <w:t>E. 2.1</w:t>
      </w:r>
    </w:p>
    <w:p>
      <w:r>
        <w:t>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w:t>
      </w:r>
    </w:p>
    <w:p>
      <w:r>
        <w:t>- 4/6 -</w:t>
      </w:r>
    </w:p>
    <w:p>
      <w:r>
        <w:t>A/1175/2024-CS notamment l'opposition au commandement de payer, l'action en libération de dette, l'annulation de la poursuite ou l'action en constatation de l'inexistence de la dette. En effet,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(parmi d'autres : ATF 136 III 365 consid. 2.1, avec la jurisprudence citée; 115 III 18 consid. 3b; 113 III</w:t>
      </w:r>
    </w:p>
    <w:p>
      <w:r>
        <w:rPr>
          <w:b/>
        </w:rPr>
        <w:t>E. 2.2</w:t>
      </w:r>
    </w:p>
    <w:p>
      <w:r>
        <w:t>En l'espèce, la plaignante n'a pas formé opposition au commandement de payer qui lui a été notifié de sorte que celui-ci est passé en force et l'Office était tenu de donner suite à la réquisition de continuer la poursuite par la notification d'une commination de faillite, la débitrice étant en l'occurrence sujette à ce mode de réalisation forcée (art. 39, 88, 159 LP).</w:t>
      </w:r>
    </w:p>
    <w:p>
      <w:r>
        <w:t>L'autorité de surveillance ne peut connaître, dans le cadre d'une plainte visant la commination de faillite, de griefs visant les fondements, la quotité, l'exigibilité et/ou l'extinction de la créance en poursuite. Seul le juge civil est matériellement compétent pour statuer sur ces objets dans le cadre des actions mentionnées ci- dessus, dans la mesure où elles sont encore ouvertes.</w:t>
      </w:r>
    </w:p>
    <w:p>
      <w:r>
        <w:t>Les griefs de la plaignante visant l'exigibilité de la créance en poursuite sont par conséquent irrecevables faute de compétence matérielle de l'autorité de céans pour en connaître.</w:t>
      </w:r>
    </w:p>
    <w:p>
      <w:r>
        <w:rPr>
          <w:b/>
        </w:rPr>
        <w:t>E. 3</w:t>
      </w:r>
    </w:p>
    <w:p>
      <w:r>
        <w:t>La plaignante invoque également l'absence de capacité d'être poursuivie de la succursale genevoise de A______ PARIS.</w:t>
      </w:r>
    </w:p>
    <w:p>
      <w:r>
        <w:rPr>
          <w:b/>
        </w:rPr>
        <w:t>E. 3.1</w:t>
      </w:r>
    </w:p>
    <w:p>
      <w:r>
        <w:t>A teneur de l'art. 50 al. 1 LP, le débiteur domicilié à l'étranger qui possède un établissement en Suisse peut y être poursuivi pour les dettes de celui-ci.</w:t>
      </w:r>
    </w:p>
    <w:p>
      <w:r>
        <w:t>La succursale suisse d'une entité ayant son siège à l'étranger est un établissement au sens de l'art. 50 al. 1 LP (art. 935 al. 2 CO; SCHÜPBACH, Commentaire Romand, Poursuite et faillite, n° 10 ad art. 50 LP).</w:t>
      </w:r>
    </w:p>
    <w:p>
      <w:r>
        <w:t>Bien que jouissant d'une certaine autonomie, une succursale est dépourvue d'existence juridique et n'a pas la capacité d'ester en justice, ni celle d'être poursuivie. Une poursuite requise par ou contre une entité dépourvue de la capacité d'être partie, parce que ne jouissant pas de la personnalité juridique, est nulle de plein droit. Lorsque dans une poursuite une succursale se voit attribuer la qualité de créancière ou débitrice, alors qu'en réalité seule la société à laquelle elle appartient est visée, l'on admet en général qu'il y a simplement désignation inexacte d'une partie; si la partie qui fait état de la désignation vicieuse ne pouvait douter de l'identité de la personne en cause et qu'elle n'a pas été lésée dans ses intérêts, la poursuite ne sera pas annulée; on se bornera à ordonner, en cas de besoin, que les actes de poursuite déjà établis soient rectifiés ou complétés (ATF</w:t>
      </w:r>
    </w:p>
    <w:p>
      <w:r>
        <w:t>- 5/6 -</w:t>
      </w:r>
    </w:p>
    <w:p>
      <w:r>
        <w:t>A/1175/2024-CS 120 III 11 consid. 1; 117 II 85 consid. 3; 115 III 16 consid. 2; 114 III 62 consid. 1a).</w:t>
      </w:r>
    </w:p>
    <w:p>
      <w:r>
        <w:rPr>
          <w:b/>
        </w:rPr>
        <w:t>E. 3.2</w:t>
      </w:r>
    </w:p>
    <w:p>
      <w:r>
        <w:t>En l'espèce, B______ SA, suite à l'interpellation de l'Office, a bien poursuivi la société A______, PARIS, mais au for de sa succursale genevoise. La poursuite est ainsi dirigée contre une entité dotée de la personnalité juridique, susceptible d'être poursuivie, et non contre la succursale genevoise, dépourvue de personnalité juridique.</w:t>
      </w:r>
    </w:p>
    <w:p>
      <w:r>
        <w:t>Le grief de la plaignante est par conséquent infondé et la plainte sera rejetée sur cet objet.</w:t>
      </w:r>
    </w:p>
    <w:p>
      <w:r>
        <w:rPr>
          <w:b/>
        </w:rPr>
        <w:t>E. 4</w:t>
      </w:r>
    </w:p>
    <w:p>
      <w:r>
        <w:t>En conclusion, la plainte sera rejetée dans la mesure de sa recevabilité.</w:t>
      </w:r>
    </w:p>
    <w:p>
      <w:r>
        <w:rPr>
          <w:b/>
        </w:rPr>
        <w:t>E. 5</w:t>
      </w:r>
    </w:p>
    <w:p>
      <w:r>
        <w:t>La procédure devant l'autorité de surveillance est gratuite (art. 20a al. 2 ch. 5 LP; art. 61 al. 2 let. a OELP) et ne donne pas lieu à l'allocation de dépens (art. 62 al. 2 OELP). * * * * *</w:t>
      </w:r>
    </w:p>
    <w:p>
      <w:r>
        <w:t>- 6/6 -</w:t>
      </w:r>
    </w:p>
    <w:p>
      <w:r>
        <w:t>A/1175/2024-CS PAR CES MOTIFS, La Chambre de surveillance : Rejette dans la mesure de sa recevabilité la plainte du 9 avril 2024 de A______, PARIS contre la poursuite et la commination de faillite n° 4______.</w:t>
      </w:r>
    </w:p>
    <w:p>
      <w:r>
        <w:t>Siégeant : Monsieur Jean REYMOND, président; Madame Natalie OPPATJA et Monsieur Mathieu HOWALD, juges assesseurs; Madame Véronique AMAUDRY- 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