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DCSO/489/2023 vom 27. März 2023</w:t>
      </w:r>
    </w:p>
    <w:p>
      <w:r>
        <w:t>GE Cour de justice, 2023-03-27, FR</w:t>
      </w:r>
    </w:p>
    <w:p>
      <w:r>
        <w:rPr>
          <w:b/>
        </w:rPr>
        <w:t xml:space="preserve">Quelle: </w:t>
      </w:r>
      <w:r>
        <w:t>https://mcp.opencaselaw.ch/entscheid/ge_gerichte_DCSO_489_2023</w:t>
      </w:r>
    </w:p>
    <w:p>
      <w:r>
        <w:t>FR: GE_GERICHTE DCSO/489/2023 du 27 mars 2023</w:t>
      </w:r>
    </w:p>
    <w:p>
      <w:r>
        <w:t>IT: GE_GERICHTE DCSO/489/2023 del 27 marzo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 Il convient en particulier de retenir qu'aussi longtemps que le montant du dividende lui revenant n'est pas certain, la plaignante conserve un intérêt juridiquement protégé à ce que sa créance soit considérée comme une dette de masse.</w:t>
      </w:r>
    </w:p>
    <w:p>
      <w:r>
        <w:t>Il sera revenu ci-dessous sur la compétence matérielle pour traiter la question de fond soulevée par la plaignante.</w:t>
      </w:r>
    </w:p>
    <w:p>
      <w:r>
        <w:rPr>
          <w:b/>
        </w:rPr>
        <w:t>E. 2</w:t>
      </w:r>
    </w:p>
    <w:p>
      <w:r>
        <w:t>2.1.1 La plaignante prétend au remboursement intégral et immédiat de la somme de 2'390 fr. au motif qu'il s'agit d'une dette de la masse et non pas dans la masse en faillite. Sa prétention ne doit par conséquent pas être colloquée et mise au même rang que les créanciers ordinaires dans la faillite. Les rentes AVS versées indument n'appartiennent en effet pas au défunt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w:t>
      </w:r>
    </w:p>
    <w:p>
      <w:r>
        <w:t>2.1.2 L'Office conclut d'une part à l'irrecevabilité de la plainte dans la mesure où elle conclut à ce que l'Office soit contraint à restituer la somme de 2'390 fr. et n'inscrive pas une créance de ce montant à l'état de collocation. Une telle question relève du juge du fond et non pas de la compétence de l'Office, ni de la Chambre de surveillance.</w:t>
      </w:r>
    </w:p>
    <w:p>
      <w:r>
        <w:t>L'Office objecte d'autre part que la plaignante fait fausse route en exigeant de l'Office qu'il applique l'art. 242 al. 2 LP à sa revendication sur la somme de 2'390 fr. S'agissant d'une créance, la procédure de revendication prévue par</w:t>
      </w:r>
    </w:p>
    <w:p>
      <w:r>
        <w:t>- 4/8 -</w:t>
      </w:r>
    </w:p>
    <w:p>
      <w:r>
        <w:t>A/2355/2023-CS l'art. 242 al. 2 LP n'est pas ouverte. Les conditions d'une procédure de revendication n'étant pas réunies, la plainte est par conséquent infondée.</w:t>
      </w:r>
    </w:p>
    <w:p>
      <w:r>
        <w:t>2.2.1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GILLIERON, Commentaire III, n° 15 à 17, 22 ad art. 197 LP et remarques introductives aux art. 197-207 n° 11).</w:t>
      </w:r>
    </w:p>
    <w:p>
      <w:r>
        <w:t>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JEANDIN, FISCHER, Commentaire Romand, Poursuite et faillite, 2005, n° 3 ad art. 242 LP).</w:t>
      </w:r>
    </w:p>
    <w:p>
      <w:r>
        <w:t>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w:t>
      </w:r>
    </w:p>
    <w:p>
      <w:r>
        <w:t>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w:t>
      </w:r>
    </w:p>
    <w:p>
      <w:r>
        <w:t>- 5/8 -</w:t>
      </w:r>
    </w:p>
    <w:p>
      <w:r>
        <w:t>A/2355/2023-CS</w:t>
      </w:r>
    </w:p>
    <w:p>
      <w:r>
        <w:t>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 tous les biens inventoriés du failli, elle dresse le tableau de distribution des deniers et établit le compte final. Les frais d'ouverture de la faillite, de liquidation et de prise d'inventaire sont couverts en premier lieu.</w:t>
      </w:r>
    </w:p>
    <w:p>
      <w:r>
        <w:t>Il découle de ces dispositions que les dettes de la masse en faillite se divisent en deux catégories : les dettes "dans la masse" et les dettes "de masse".</w:t>
      </w:r>
    </w:p>
    <w:p>
      <w:r>
        <w:t>Appartiennent aux "frais d'ouverture, de liquidation et de prise d'inventaire de la faillite" les obligations de prester – ayant pour objet une somme d'argent ou une prestation en nature – contractées par la masse ou nées à son détriment durant le cours de la procédure de liquidation (p. ex. créances fiscales, prétentions découlant des règles sur la responsabilité civile), lesquelles constituent des "dettes de masse".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"dettes dans la masse",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w:t>
      </w:r>
    </w:p>
    <w:p>
      <w:r>
        <w:t>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w:t>
      </w:r>
    </w:p>
    <w:p>
      <w:r>
        <w:t>- 6/8 -</w:t>
      </w:r>
    </w:p>
    <w:p>
      <w:r>
        <w:t>A/2355/2023-CS consid. 1; arrêts du Tribunal fédéral 5A_27/2016 du 28 juin 2016 consid 4.1.2 et 5A_329/2012 du 5 septembre 2012 consid. 4.4.2).</w:t>
      </w:r>
    </w:p>
    <w:p>
      <w:r>
        <w:t>2.2.4 A teneur de l'art. 92 al. 1 ch. 9a LP, les rentes AVS sont insaisissables.</w:t>
      </w:r>
    </w:p>
    <w:p>
      <w:r>
        <w:t>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w:t>
      </w:r>
    </w:p>
    <w:p>
      <w:r>
        <w:rPr>
          <w:b/>
        </w:rPr>
        <w:t>E. 2.3</w:t>
      </w:r>
    </w:p>
    <w:p>
      <w:r>
        <w:t>En l'espèce, la décision entreprise qualifie la dette de 2'390 fr. de la succession de feu B______ envers la plaignante de dette dans la masse et l'Office a annoncé à cette dernière qu'il allait la porter à l'état de collocation. Sachant que la plaignante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w:t>
      </w:r>
    </w:p>
    <w:p>
      <w:r>
        <w:t>La plaignante reproche à l'Office, d'une part, de ne pas avoir considéré que la dette litigieuse était "de masse" et de ne pas avoir ouvert la procédure de revendication au sens de l'art. 242 al. 1 LP alors que le montant de 2'390 fr. aurait dû être purement et simplement restitué en tant qu'indu. Elle évoque encore l'insaisissabilité des rentes AVS.</w:t>
      </w:r>
    </w:p>
    <w:p>
      <w:r>
        <w:rPr>
          <w:b/>
        </w:rPr>
        <w:t>E. 2.3.1</w:t>
      </w:r>
    </w:p>
    <w:p>
      <w:r>
        <w:t>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w:t>
      </w:r>
    </w:p>
    <w:p>
      <w:r>
        <w:rPr>
          <w:b/>
        </w:rPr>
        <w:t>E. 2.3.2</w:t>
      </w:r>
    </w:p>
    <w:p>
      <w:r>
        <w:t>Le second grief repose sur la prémisse erronée que l'on pourrait revendiquer une créance sur la base de l'art. 242 al. 2 LP et peut être écarté pour ce seul motif. La somme de 2'390 fr., après avoir été virée sur le compte du défunt, s'est mélangée aux avoirs de ce dernier, de sorte qu'elle ne constitue plus une chose séparée et individualisée que l'on pourrait revendiquer et restituer en tant que telle, contrairement à ce que semble soutenir la plaignante. La prétention de la</w:t>
      </w:r>
    </w:p>
    <w:p>
      <w:r>
        <w:t>- 7/8 -</w:t>
      </w:r>
    </w:p>
    <w:p>
      <w:r>
        <w:t>A/2355/2023-CS plaignante ne porte que sur une créance en restitution de l'indu à l'encontre de la succession du défunt. A ce titre, la revendication au sens de l'art. 242 al. 2 LP est exclue par la jurisprudence. Au demeurant, aucune des parties n'allègue que l'Office aurait inscrit à l'inventaire un solde positif du compte du défunt suffisant pour permettre la "restitution" des rentes indument versées "revendiquées" par la plaignante.</w:t>
      </w:r>
    </w:p>
    <w:p>
      <w:r>
        <w:rPr>
          <w:b/>
        </w:rPr>
        <w:t>E. 2.3.3</w:t>
      </w:r>
    </w:p>
    <w:p>
      <w:r>
        <w:t>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w:t>
      </w:r>
    </w:p>
    <w:p>
      <w:r>
        <w:rPr>
          <w:b/>
        </w:rPr>
        <w:t>E. 2.3.4</w:t>
      </w:r>
    </w:p>
    <w:p>
      <w:r>
        <w:t>La plainte sera par conséquent rejetée dans la mesure de sa recevabilité.</w:t>
      </w:r>
    </w:p>
    <w:p>
      <w:r>
        <w:rPr>
          <w:b/>
        </w:rPr>
        <w:t>E. 3</w:t>
      </w:r>
    </w:p>
    <w:p>
      <w:r>
        <w:t>La procédure devant l'autorité de surveillance est gratuite (art. 20a al. 2 ch. 5 LP; art. 61 al. 2 let. a OELP) et ne donne pas lieu à l'allocation de dépens (art. 62 al. 2 OELP). * * * * *</w:t>
      </w:r>
    </w:p>
    <w:p>
      <w:r>
        <w:t>- 8/8 -</w:t>
      </w:r>
    </w:p>
    <w:p>
      <w:r>
        <w:t>A/2355/2023-CS PAR CES MOTIFS, La Chambre de surveillance :</w:t>
      </w:r>
    </w:p>
    <w:p>
      <w:r>
        <w:t>Rejette dans la mesure de sa recevabilité la plainte formée le 13 juillet 2023 par la CAISSE DE COMPENSATION A______ contre le courrier du 30 juin 2023 de l'Office cantonal des faillites dans le cadre de la liquidation selon les règles de la faillite de la succession de feu B______.</w:t>
      </w:r>
    </w:p>
    <w:p>
      <w:r>
        <w:t>Siégeant : Monsieur Patrick CHENAUX, président; Madame Ekaterine BLINOVA et Monsieur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