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DCSO/488/2020 vom 17. Dezember 2020</w:t>
      </w:r>
    </w:p>
    <w:p>
      <w:r>
        <w:t>GE Cour de justice, 2020-12-17, FR</w:t>
      </w:r>
    </w:p>
    <w:p>
      <w:r>
        <w:rPr>
          <w:b/>
        </w:rPr>
        <w:t xml:space="preserve">Quelle: </w:t>
      </w:r>
      <w:r>
        <w:t>https://mcp.opencaselaw.ch/entscheid/ge_gerichte_DCSO_488_2020</w:t>
      </w:r>
    </w:p>
    <w:p>
      <w:r>
        <w:t>FR: GE_GERICHTE DCSO/488/2020 du 17 décembre 2020</w:t>
      </w:r>
    </w:p>
    <w:p>
      <w:r>
        <w:t>IT: GE_GERICHTE DCSO/488/2020 del 17 dicembre 2020</w:t>
      </w:r>
    </w:p>
    <w:p>
      <w:pPr>
        <w:pStyle w:val="Heading2"/>
      </w:pPr>
      <w:r>
        <w:t>Erwägungen</w:t>
      </w:r>
    </w:p>
    <w:p>
      <w:r>
        <w:rPr>
          <w:b/>
        </w:rPr>
        <w:t>E. 1.1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des parties lésées dans leurs intérêts (ATF 138 III 219 consid. 2.3; 129 III 595 consid. 3; 120 III 42 consid. 3), la plainte est recevable.</w:t>
      </w:r>
    </w:p>
    <w:p>
      <w:r>
        <w:rPr>
          <w:b/>
        </w:rPr>
        <w:t>E. 1.2</w:t>
      </w:r>
    </w:p>
    <w:p>
      <w:r>
        <w:t>Le grief tiré du caractère abusif de la poursuite litigieuse devrait en tout état être examiné d'office par la Chambre de céans, même en l'absence de plainte recevable, dans la mesure son admission aurait pour conséquence la nullité de la poursuite (art. 22 al. 1 deuxième phrase LP).</w:t>
      </w:r>
    </w:p>
    <w:p>
      <w:r>
        <w:rPr>
          <w:b/>
        </w:rPr>
        <w:t>E. 2.1</w:t>
      </w:r>
    </w:p>
    <w:p>
      <w:r>
        <w:t>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(ATF 140 III 481 consid. 2.3.1; 115 III 18 consid. 3b; arrêts 5A_1020/2018 du 11 février 2019; 5A_317/2015 du 13 octobre 2015 consid. 2.1, in Pra 2016 p. 53 n° 7; 5A_218/2015 du 30 novembre 2015 consid. 3). En revanche, celui qui poursuit son débiteur dans le seul but d'interrompre la prescription ne commet en principe</w:t>
      </w:r>
    </w:p>
    <w:p>
      <w:r>
        <w:t>- 4/6 -</w:t>
      </w:r>
    </w:p>
    <w:p>
      <w:r>
        <w:t>A/3239/2020-CS pas d'abus de droit, la notification d'un commandement de payer représentant un moyen légal pour ce faire (art. 135 ch. 2 CO; arrêt 5A_250/2015 précité consid. 4.2 in fine; PETER, Interrompre la prescription par une poursuite, in BlSchK 2018 p. 175 ss, 179 in fine).</w:t>
      </w:r>
    </w:p>
    <w:p>
      <w:r>
        <w:t>La procédure de plainte des art. 17 ss LP ne permet par ailleurs pas d'obtenir l'annulation de la poursuite en se prévalant de l'art. 2 al. 2 CC, dans la mesure où le grief pris de l'abus de droit est invoqué à l'encontre de la réclamation litigieuse, la décision à ce sujet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cf. ég., parmi plusieurs: arrêts 5A_838/2016 du 13 mars 2017 consid. 2.1).</w:t>
      </w:r>
    </w:p>
    <w:p>
      <w:r>
        <w:rPr>
          <w:b/>
        </w:rPr>
        <w:t>E. 2.2</w:t>
      </w:r>
    </w:p>
    <w:p>
      <w:r>
        <w:t>Dans le cas d'espèce, plusieurs indices conduisent à retenir que, par l'introduction de la poursuite litigieuse, la poursuivante avait effectivement l'intention de nuire au poursuivi en portant atteinte à sa réputation, par la mention dans les extraits du Registre des poursuites de l'existence et du montant de la poursuite, et de lui rendre ainsi plus difficile l'exercice de son activité commerciale dans le cadre de laquelle il était régulièrement amené, notamment lors de soumissions pour des marchés publics, à justifier de sa bonne santé financière par la production d'un tel extrait.</w:t>
      </w:r>
    </w:p>
    <w:p>
      <w:r>
        <w:t>C'est ainsi en premier lieu que la poursuite litigieuse, qui porte pour l'essentiel sur la même créance contestée que la première, a été engagée trois semaines à peine après que le poursuivi eut obtenu, en application de l'art. 8a al. 3 let. d LP, que la première poursuite ne soit plus portée à la connaissance des tiers, et alors que, le délai prévu par l'art. 88 al. 2 n'étant pas écoulé, la poursuivante avait encore la possibilité d'agir judiciairement afin de faire écarter l'opposition formée à cette première poursuite. Ce procédé, pour lequel la poursuivante n'a donné aucune explication, a eu pour conséquence que l'existence d'une poursuite portant sur la créance contestée a à nouveau été portée à la connaissance des tiers alors que le poursuivi venait d'obtenir qu'elle ne le soit plus.</w:t>
      </w:r>
    </w:p>
    <w:p>
      <w:r>
        <w:t>C'est ainsi également que la première poursuite, devenue sans objet avec l'introduction de la seconde le 22 avril 2020, n'a été formellement retirée que le 20 octobre 2020, après que la poursuivante eut été informée du dépôt par le poursuivi de la présente plainte.</w:t>
      </w:r>
    </w:p>
    <w:p>
      <w:r>
        <w:t>C'est ainsi enfin que la poursuivante n'a pas contesté la relation qu'a faite le plaignant d'une conversation téléphonique avec l'un de ses administrateurs, lors de laquelle ce dernier aurait expressément admis son intention de lui nuire, en connaissance des conséquences que pouvait avoir sur son activité commerciale la mention sur les extraits du Registre des poursuites de la poursuite litigieuse.</w:t>
      </w:r>
    </w:p>
    <w:p>
      <w:r>
        <w:t>- 5/6 -</w:t>
      </w:r>
    </w:p>
    <w:p>
      <w:r>
        <w:t>A/3239/2020-CS</w:t>
      </w:r>
    </w:p>
    <w:p>
      <w:r>
        <w:t>A elle seule, une telle volonté de nuire au débiteur poursuivi ne suffit cependant pas pour considérer la poursuite comme abusive au sens de l'art. 2 al. 2 CC. Il faut encore pour cela que cette volonté soit le motif exclusif du recours à la voie de l'exécution forcée, éclipsant ainsi totalement l'intention apparente de recouvrer la créance invoquée. Le choix d'un créancier souhaitant sérieusement procéder au recouvrement d'une créance contestée de commencer ses démarches par l'engagement d'une procédure de poursuite, tout en sachant que l'existence de cette poursuite sera préjudiciable aux intérêts du prétendu débiteur et en voulant ce résultat, n'est pas constitutif d'un abus de droit. L'abus de droit est en revanche réalisé si la volonté déclarée de recouvrer la créance litigieuse n'est pas sérieuse et ne constitue en réalité qu'un prétexte pour nuire au poursuivi, ce qui pourra être retenu par exemple si le créancier, sans motif légitime, engage des poursuites successives sans jamais introduire de procédures judiciaires en vue d'obtenir que l'opposition soit écartée.</w:t>
      </w:r>
    </w:p>
    <w:p>
      <w:r>
        <w:t>En l'occurrence, il est établi que la poursuivante a engagé une seconde poursuite alors qu'elle aurait eu la possibilité d'introduire immédiatement une procédure judiciaire (en procédure sommaire ou au fond) afin de faire écarter l'opposition formée par le plaignant dans la première poursuite. Il résulte toutefois de la comparaison entre les première et seconde réquisitions de poursuite que les prétentions invoquées ne concordent pas exactement. La seconde réquisition de poursuite mentionne ainsi un taux d'intérêts plus élevé et un point de départ des intérêts plus précoce, ainsi que des prétentions accessoires ne figurant pas dans la première réquisition. Il n'est donc pas exclu que, bien qu'ayant l'intention sérieuse de faire reconnaître le bien-fondé de la créance invoquée, la poursuivante ait préféré regrouper l'ensemble de ses prétentions y relatives dans une seule poursuite avant d'engager des procédures judiciaires en vue de faire écarter l'opposition que formerait certainement le poursuivi dans une seule procédure. Il ne peut donc être retenu en l'état que la poursuivante n'aurait pas sérieusement l'intention, par le recours aux voies de l'exécution forcée, de recouvrer la créance litigieuse.</w:t>
      </w:r>
    </w:p>
    <w:p>
      <w:r>
        <w:t>La plainte doit donc être rejetée, un abus de droit n'étant pas établi. La situation devra le cas échéant être réexaminée si la poursuivante devait continuer à introduire des poursuites successives sans solliciter que l'opposition soit écartée.</w:t>
      </w:r>
    </w:p>
    <w:p>
      <w:r>
        <w:rPr>
          <w:b/>
        </w:rPr>
        <w:t>E. 3</w:t>
      </w:r>
    </w:p>
    <w:p>
      <w:r>
        <w:t>La procédure de plainte est gratuite (art. 20a al. 2 ch. 5 LP et art. 61 al. 2 let. a OELP) et il ne peut être alloué aucuns dépens dans cette procédure (art. 62 al. 2 OELP). * * * * *</w:t>
      </w:r>
    </w:p>
    <w:p>
      <w:r>
        <w:t>- 6/6 -</w:t>
      </w:r>
    </w:p>
    <w:p>
      <w:r>
        <w:t>A/3239/2020-CS PAR CES MOTIFS, La Chambre de surveillance : A la forme : Déclare recevable la plainte formée le 14 octobre 2020 par A______ contre la poursuite n° 3______. Au fond : La rejette. Siégeant : Monsieur Patrick CHENAUX, président; Messieurs Frédéric HENSLER et Denis KELLER, juges assesseurs; Madame Christel HENZELIN, greffière.</w:t>
      </w:r>
    </w:p>
    <w:p>
      <w:r>
        <w:t>Le président :</w:t>
      </w:r>
    </w:p>
    <w:p>
      <w:r>
        <w:t>Patrick CHENAUX</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