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DCSO/486/2023 vom 9. November 2023</w:t>
      </w:r>
    </w:p>
    <w:p>
      <w:r>
        <w:t>GE Cour de justice, 2023-11-09, FR</w:t>
      </w:r>
    </w:p>
    <w:p>
      <w:r>
        <w:rPr>
          <w:b/>
        </w:rPr>
        <w:t xml:space="preserve">Quelle: </w:t>
      </w:r>
      <w:r>
        <w:t>https://mcp.opencaselaw.ch/entscheid/ge_gerichte_DCSO_486_2023</w:t>
      </w:r>
    </w:p>
    <w:p>
      <w:r>
        <w:t>FR: GE_GERICHTE DCSO/486/2023 du 9 novembre 2023</w:t>
      </w:r>
    </w:p>
    <w:p>
      <w:r>
        <w:t>IT: GE_GERICHTE DCSO/486/2023 del 9 novembre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Les règles régissant le for de la poursuite sont impératives. Les sanctions attachées à leur violation sont cependant différentes selon qu'il s'agit de la notification du commandement de payer dans la poursuite ordinaire ou de la continuation de la poursuite par voie de saisie. La notification du commandement de payer par un office des poursuites incompétent à raison du lieu n'entraîne ainsi que l'annulabilité, sur plainte, de cet acte : dans cette hypothèse en effet, il n'y a</w:t>
      </w:r>
    </w:p>
    <w:p>
      <w:r>
        <w:t>- 4/6 -</w:t>
      </w:r>
    </w:p>
    <w:p>
      <w:r>
        <w:t>A/2361/2023-CS pas de lésion de l'intérêt public ou de l'intérêt de tiers au sens de l'art. 22 al. 1 LP. En revanche, la continuation de la poursuite par un office des poursuites incompétent à raison du lieu entraîne, à moins qu'il n'existe aucun bien saisissable, la nullité des avis de saisie et des opérations ultérieures : dans ce cas en effet, la violation des règles sur le for de la poursuite lèse les intérêts des créanciers qui pourraient, le cas échéant, participer à la saisie (arrêt du Tribunal fédéral 5A_539/2022 du 13 septembre 2022 consid. 3.1 et références citées).</w:t>
      </w:r>
    </w:p>
    <w:p>
      <w:r>
        <w:t>2.1.2 Le déroulement d'une procédure de poursuite, et en particulier la notification d'un commandement de payer, supposent l'existence d'un for de poursuite au sens des art. 46 à 55 LP.</w:t>
      </w:r>
    </w:p>
    <w:p>
      <w:r>
        <w:t>Sous réserve des fors spéciaux prévus par les art. 48 à 52 LP, le for de la poursuite est au domicile du débiteur (art. 46 LP). L'existence d'un domicile doit être appréciée au moment de la notification du commandement de payer (arrêt du Tribunal fédéral 5A_5/2009 du 9 juillet 2009 consid. 3).</w:t>
      </w:r>
    </w:p>
    <w:p>
      <w:r>
        <w:t>La notion de domicile au sens de l'art. 46 LP correspond à celle de l'art. 23 al. 1 CC. Il s'agit du lieu où l'intéressé réside avec l'intention de s'établir, ce qui suppose qu'il fasse de ce lieu le centre de ses intérêts personnels et professionnels (ATF 125 III 100 consid. 3; 120 III 7 consid. 2a). La notion de domicile comporte deux éléments: l'un objectif, la présence physique dans un endroit donné; l'autre subjectif, l'intention d'y demeurer de façon durable (ATF 141 V 530 consid. 5.2; 137 II 122 consid. 3.6; 136 II 405 consid. 4.3). La loi n'exige pas qu'une personne ait l'intention de demeurer pour toujours dans un certain endroit; il suffit qu'elle fasse de ce lieu le centre de son existence, quand bien même elle voudrait transférer plus tard son domicile ailleurs (arrêts 5A_419/2020 du 16 avril 2021 consid. 3.2.2; 5A_725/2010 du 12 mai 2011 consid. 2.3). Lorsque plusieurs endroits entrent en ligne de compte, parce que la personne a des attaches avec chacun d'eux, le principe de l'unité du domicile (art. 23 al. 2 CC et 20 al. 2 LDIP) impose un choix; le domicile se trouve au lieu avec lequel l'intéressé entretient les relations les plus étroites, cette question étant résolue sur la base de l'ensemble des circonstances (ATF 136 II 405 consid. 4.3; arrêt 5A_653/2020 du 2 février 2022 consid. 3.3).</w:t>
      </w:r>
    </w:p>
    <w:p>
      <w:r>
        <w:t>2.2.1 Il résulte en l'occurrence du dossier que le plaignant a quitté le domicile genevois de sa mère à la fin de l'année 2021 pour s'installer à D______, en Allemagne – Etat dont il possède la nationalité – afin d'y accomplir des études de médecine d'une durée prévisible de l'ordre de sept ans. Il a loué un logement sur place et s'est annoncé auprès des autorités allemandes, qui le considèrent comme un contribuable.</w:t>
      </w:r>
    </w:p>
    <w:p>
      <w:r>
        <w:t>Il vit depuis lors à D______, y poursuivant régulièrement ses études, accomplissant des périodes de travail dans un hôpital local et fréquentant les commerces et restaurants de la ville.</w:t>
      </w:r>
    </w:p>
    <w:p>
      <w:r>
        <w:t>- 5/6 -</w:t>
      </w:r>
    </w:p>
    <w:p>
      <w:r>
        <w:t>A/2361/2023-CS</w:t>
      </w:r>
    </w:p>
    <w:p>
      <w:r>
        <w:t>Au vu de ces éléments, il faut admettre que le centre de vie du plaignant se situait, au moment de la notification du commandement de payer (et en réalité depuis le 1er janvier 2022) en Allemagne. C'est en effet dans ce pays qu'il réside et que se déroulent aujourd'hui ses activités professionnelles ou pré-professionnelles. Même si une partie au moins de ses proches – soit sa mère – réside à Genève, et que l'on peut penser qu'il y a conservé des amis, ces éléments ne sont pas déterminants s'agissant d'un jeune adulte parti à l'étranger pour une longue période.</w:t>
      </w:r>
    </w:p>
    <w:p>
      <w:r>
        <w:t>Il faut ainsi retenir qu'au moment de la notification du commandement de payer le plaignant n'était pas domicilié dans le canton de Genève. La compétence de l'Office pour conduire une poursuite à son encontre, et en particulier pour établir et notifier un commandement de payer, ne pouvait donc résulter de l'art. 46 al. 1 LP. Dans la mesure où aucun des fors spéciaux prévus par les art. 48 à 55 LP ne paraît par ailleurs pouvoir être retenu, la plainte est bien fondée. Le commandement de payer contesté sera donc annulé.</w:t>
      </w:r>
    </w:p>
    <w:p>
      <w:r>
        <w:t>2.2.2 Tout en paraissant admettre dans sa détermination sur plainte du 19 septembre 2023 que le plaignant avait effectivement quitté la Suisse le 31 décembre 2021, l'intimée semble considérer qu'une poursuite serait encore possible à son encontre en Suisse du fait que les prétentions invoquées seraient nées antérieurement à ce départ. Il n'en est rien : comme relevé ci-dessus, le moment déterminant pour apprécier l'existence d'un for de poursuite est celui de la notification du commandement de payer et non celui de la naissance de la prétention invoquée en poursuite.</w:t>
      </w:r>
    </w:p>
    <w:p>
      <w:r>
        <w:rPr>
          <w:b/>
        </w:rPr>
        <w:t>E. 3</w:t>
      </w:r>
    </w:p>
    <w:p>
      <w:r>
        <w:t>La procédure de plainte est gratuite (art. 20a al. 2 ch. 5 LP et art. 61 al. 2 let. a OELP) et il ne peut être alloué aucuns dépens dans cette procédure (art. 62 al. 2 OELP). * * * * *</w:t>
      </w:r>
    </w:p>
    <w:p>
      <w:r>
        <w:t>- 6/6 -</w:t>
      </w:r>
    </w:p>
    <w:p>
      <w:r>
        <w:t>A/2361/2023-CS PAR CES MOTIFS, La Chambre de surveillance : A la forme : Déclare recevable la plainte formée le 14 juillet 2023 par A______ contre le commandement de payer, poursuite n° 3______. Au fond : L'admet. Annule en conséquence le commandement de payer, poursuite n° 3______. Siégeant : Monsieur Patrick CHENAUX, président; Madame Ekaterine BLINOVA et Monsieur Mathieu HOWALD, juges assesseurs; Madame Véronique AMAUDRY-PISCETTA,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