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DCSO/486/2019 vom 7. November 2019</w:t>
      </w:r>
    </w:p>
    <w:p>
      <w:r>
        <w:t>GE Cour de justice, 2019-11-07, FR</w:t>
      </w:r>
    </w:p>
    <w:p>
      <w:r>
        <w:rPr>
          <w:b/>
        </w:rPr>
        <w:t xml:space="preserve">Quelle: </w:t>
      </w:r>
      <w:r>
        <w:t>https://mcp.opencaselaw.ch/entscheid/ge_gerichte_DCSO_486_2019</w:t>
      </w:r>
    </w:p>
    <w:p>
      <w:r>
        <w:t>FR: GE_GERICHTE DCSO/486/2019 du 7 novembre 2019</w:t>
      </w:r>
    </w:p>
    <w:p>
      <w:r>
        <w:t>IT: GE_GERICHTE DCSO/486/2019 del 7 novembre 2019</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 l'exécution de la saisie.</w:t>
      </w:r>
    </w:p>
    <w:p>
      <w:r>
        <w:t>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(ERARD, in CR LP, 2005, n. 32 et 33 ad art. 17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(DIETH/WOHL, in KUKO SchKG, 2ème éd., 2014, n. 11, 12 ad art. 17 LP). Lorsque la plainte est dirigée contre la saisie, le délai de dix jours prévu par l'art. 17 al. 2 LP commence à courir avec la communication du procès-verbal de saisie (ATF 107 III 7 consid. 2).</w:t>
      </w:r>
    </w:p>
    <w:p>
      <w:r>
        <w:rPr>
          <w:b/>
        </w:rPr>
        <w:t>E. 1.2</w:t>
      </w:r>
    </w:p>
    <w:p>
      <w:r>
        <w:t>En l'espèce, la plainte respecte les exigences minimales de forme prévues par la loi et émane de la créancière poursuivante, soit d'une personne lésée ou exposée à l'être dans ses intérêts juridiquement protégés. Elle a par ailleurs été formée dans les dix jours suivant la notification du procès-verbal de saisie à la plaignante.</w:t>
      </w:r>
    </w:p>
    <w:p>
      <w:r>
        <w:t>La plainte est donc recevable.</w:t>
      </w:r>
    </w:p>
    <w:p>
      <w:r>
        <w:t>- 5/10 -</w:t>
      </w:r>
    </w:p>
    <w:p>
      <w:r>
        <w:t>A/2216/2019-CS</w:t>
      </w:r>
    </w:p>
    <w:p>
      <w:r>
        <w:rPr>
          <w:b/>
        </w:rPr>
        <w:t>E. 2</w:t>
      </w:r>
    </w:p>
    <w:p>
      <w:r>
        <w:t>La plaignante reproche à l'Office d'avoir mal apprécié les charges du débiteur et de ne pas avoir procédé aux enquêtes utiles pour vérifier l'authenticité des renseignements fournis par celui-ci.</w:t>
      </w:r>
    </w:p>
    <w:p>
      <w:r>
        <w:rPr>
          <w:b/>
        </w:rPr>
        <w:t>E. 2.1</w:t>
      </w:r>
    </w:p>
    <w:p>
      <w:r>
        <w:t>Lorsque le débiteur est sujet à la poursuite par voie de saisie, l'Office, après réception de la réquisition de continuer la poursuite, procède sans retard à la saisie (art. 89 LP). Il doit déterminer d'office les faits pertinents pour l'exécution de la saisie (ATF 108 III 10). Afin de pourvoir au meilleur désintéressement possible des créanciers, il doit procéder avec diligence, autorité et souci de découvrir les droits patrimoniaux du poursuivi, qui ne sont pas insaisissables en vertu des art. 92 et 93 LP. L'Office est doté à cette fin de pouvoirs d'investigation et de coercition étendus, "à l'instar d'un juge chargé d'instruire une enquête pénale ou d'un officier de police judiciaire" (GILLIERON, Commentaire LP, n. 12 ad art. 91 LP).</w:t>
      </w:r>
    </w:p>
    <w:p>
      <w:r>
        <w:t>Il revient à l'Office d'interroger le poursuivi, d'inspecter sa demeure, voire les locaux qu'il loue comme bailleur ou locataire, de façon proportionnée aux circonstances (GILLIERON, op. cit., n. 13 et 16 ad art. 91). Les tiers peuvent également être sollicitées, dès lors que la loi leur impose la même obligation de renseigner qu'au débiteur (art. 91 al. 4 LP; OCHSNER, in CR LP, 2005, n. 25 ad art. 93; Jeandin, in CR LP, 2005, n. 15 ad art. 91).</w:t>
      </w:r>
    </w:p>
    <w:p>
      <w:r>
        <w:t>La question de savoir si et dans quelle mesure l'enquête officielle menée par l'Office est défectueuse et son résultat inexact ne doit être examinée qu'en ce qui concerne les éléments critiqués par le créancier dans sa plainte (cf. ATF 127 III 572 consid. 3c, JdT 2001 II 78). 2.2.1 Selon l'art. 93 al. 1 LP, les revenus relativement saisissables tels que les revenus du travail ne peuvent être saisis que déduction faite de ce que le préposé estime indispensable au débiteur et à sa famille (minimum vital).</w:t>
      </w:r>
    </w:p>
    <w:p>
      <w:r>
        <w:t>Les autorités de poursuite fixent librement – en s'appuyant, à Genève, sur les Normes d'insaisissabilité édictées par l'autorité de surveillance (ci-après : NI- 2019; RS/GE E 3 60.04; OCHSNER, Le minimum vital (art. 93 al. 1 LP), in SJ 2012 II p. 119 ss, 123) – la part des ressources du débiteur qu'elles estiment indispensables à son entretien (arrêts du Tribunal fédéral 5A_306/2018 du 19 septembre 2018 consid. 3.1.1; 5A_919/2012 du 11 février 2013 consid. 4.3.1). Les faits déterminant le revenu saisissable doivent être établis d'office, compte tenu des circonstances existant au moment de l'exécution de la saisie (ATF 112 III 79 consid. 2 et les références; arrêt du Tribunal fédéral 5A_57/2016 du 20 avril 2016 consid. 4.3.1). L'art. 93 LP garantit au débiteur et à sa famille la possibilité de mener une existence décente, sans toutefois les protéger contre la perte des commodités de la</w:t>
      </w:r>
    </w:p>
    <w:p>
      <w:r>
        <w:t>- 6/10 -</w:t>
      </w:r>
    </w:p>
    <w:p>
      <w:r>
        <w:t>A/2216/2019-CS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arrêt du Tribunal fédéral 5A_266/2014 du 11 juillet 2014 consid. 3). 2.2.2 Les dépenses nécessaires à l'entretien du débiteur se composent en premier lieu d'une base mensuelle d'entretien, fixée selon sa situation familiale, qui doit lui permettre de couvrir ses dépenses élémentaires, parmi lesquelles la nourriture et les frais de vêtement (OCHSNER, Le minimum vital, op. cit., p. 128). La base mensuelle d'entretien pourra être réduite de 15% si le débiteur réside en France voisine, où le coût de la vie est moins élevé qu'à Genève (ATF 91 III 81; WINKLER, in Kommentar SchKG, 4ème éd., 2017, Kren Kostkiewicz/Vock [éd.], n. 32 ad art. 93 LP; OCHSNER, in CR LP, op. cit., n. 109 et 110 ad art. 93 LP). D'autres charges indispensables, comme les frais de logement (art. II.1 et II.3 NI- 2019) ou les primes d'assurance-maladie obligatoire (art. II.3 NI-2019), doivent être ajoutées à cette base mensuelle d'entretien, cela pour autant qu'elles soient effectivement payées (OCHSNER, in CR LP, op. cit., n. 82 ad art. 93 LP). Un loyer disproportionné par rapport à la situation économique et personnelle du débiteur doit être ramené à un niveau normal selon l'usage local après expiration du prochain délai de résiliation du contrat de bail (ch. II. 1 NI-2019). Le principe selon lequel le débiteur qui fait l'objet d'une saisie doit restreindre son train de vie et s'en sortir avec le minimum d'existence qui lui est reconnu s'applique aussi aux frais de logement. C'est ainsi que le besoin de logement du poursuivi n'est pris en compte qu'à concurrence de la somme nécessaire pour se loger d'une manière suffisante; lorsque son logement impose au poursuivi au moment de l'exécution de la saisie des dépenses exagérées, il doit réduire ses frais de location, s'il est locataire, dans un délai convenable, soit en principe le prochain terme de résiliation du bail, délai à l'échéance duquel l'Office pourra réduire le loyer excessif à un montant correspondant à la situation familiale du débiteur et aux loyers usuels du lieu (arrêt du Tribunal fédéral 5A_912/2018 du 16 janvier 2019 consid. 3.1.2 et les références citées.). Le loyer admissible pour un débiteur domicilié à Genève est en général calculé en fonction des statistiques publiées par l'Office cantonal de la statistique. Il convient de prendre en considération la moyenne établie pour les logements à loyer libre dans le canton de Genève et pour l'ensemble des logements neufs ou non. Ces statistiques ne comprenant pas les charges, un montant supplémentaire est ajouté au loyer retenu (OCHSNER, Le minimum vital, op. cit., p. 137 ss).</w:t>
      </w:r>
    </w:p>
    <w:p>
      <w:r>
        <w:t>- 7/10 -</w:t>
      </w:r>
    </w:p>
    <w:p>
      <w:r>
        <w:t>A/2216/2019-CS 2.2.3 Si une modification des circonstances déterminantes pour le calcul de la quotité saisissable intervient postérieurement à l'exécution de la saisie, c'est par la voie de la révision, prévue par l'art. 93 al. 3 LP, que le montant saisi devra être adapté (arrêt du Tribunal fédéral 5A_392/2012 du 19 juillet 2012 consid. 2.2). C'est avant tout au débiteur qu'il incombe d'informer l'Office de tout changement des circonstances propre à entraîner une modification de l'ampleur de la saisie (WINKLER, op. cit., n. 82 ad art. 93 LP). Dès qu'il a connaissance de telles circonstances, l'Office devra immédiatement les élucider et, s'il y a lieu, rendre une nouvelle décision (arrêt du Tribunal fédéral 5A_675/2011 du 19 janvier 2012 consid. 3.2; WINKLER, op. cit., n. 83 ad art. 93 LP). La décision sur révision, qui n'a d'effet que pour l'avenir (KREN KOSTKIEWICZ, in KUKO SchKG, 2ème éd. 2014, n. 72 ad art. 93 LP), peut être contestée par la voie de la plainte au sens de l'art. 17 al. 1 LP (OCHSNER, in CR LP, op. cit., n. 212 ad art. 93 LP).</w:t>
      </w:r>
    </w:p>
    <w:p>
      <w:r>
        <w:rPr>
          <w:b/>
        </w:rPr>
        <w:t>E. 2.3</w:t>
      </w:r>
    </w:p>
    <w:p>
      <w:r>
        <w:t>En l'espèce, la plaignante reproche tout d'abord à l'Office d'avoir inclus dans le minimum vital du débiteur la taxe d'habitation dont celui-ci indique s'acquitter pour l'année 2019. Ce moyen n'est pas fondé. Il ressort des explications de l'Office – non contestées par la plaignante dans sa réplique du 16 juillet 2019 – que le débiteur s'acquitte régulièrement de sa taxe d'habitation à hauteur de 113 fr. 60 par mois (moyenne), comme en atteste son relevé bancaire. Il s'agit donc d'une dépense effective du débiteur, dont la quotité résulte de l'avis d'impôts versé au dossier. A cela s'ajoute que le revenu mensuel net du débiteur s'élève à 2'956 fr. 30, ce qui correspond à un revenu annuel net de 35'475 fr. 60 (soit env. 30'330 EUR en tenant compte du taux de conversion en vigueur le 1er janvier 2018, 1 fr. = 0.85497 EUR). Rien ne permet dès lors de retenir que le débiteur, dont le revenu excède 27'000 EUR, pourrait prétendre à une exonération de 65% sur la taxe d'habitation 2019.</w:t>
      </w:r>
    </w:p>
    <w:p>
      <w:r>
        <w:t>C'est également à tort que la plaignante reproche à l'Office d'avoir tenu compte de la prime d'assurance-maladie obligatoire dont s'acquitte effectivement le débiteur. En effet, le montant versé de 465 fr. par mois n'a rien d'excessif, étant relevé que selon les comparatifs produits par la plaignante elle-même, la prime dont s'acquitte le débiteur se situe en dessous de la moyenne. Il n'y a donc pas lieu de revoir ce montant à la baisse.</w:t>
      </w:r>
    </w:p>
    <w:p>
      <w:r>
        <w:t>Enfin, contrairement à ce que semble soutenir la plaignante, l'Office a tenu compte du fait que le débiteur réside en France, où le coût de la vie est moins élevé qu'à Genève, puisque la base mensuelle d'entretien a été adaptée en conséquence (1'200 fr. – [1'200 x 15%] = 1'020 fr.). Au vu des considérations qui précèdent, le calcul du minimum vital effectué par l'Office doit être confirmé, sans qu'il soit nécessaire de procéder à des investigations complémentaires.</w:t>
      </w:r>
    </w:p>
    <w:p>
      <w:r>
        <w:t>- 8/10 -</w:t>
      </w:r>
    </w:p>
    <w:p>
      <w:r>
        <w:t>A/2216/2019-CS Infondée, la plainte sera par conséquent rejetée. Pour le surplus, il ne sera pas entré en matière sur la baisse de revenus évoquée par le débiteur dans sa duplique du 27 juillet 2019. C'est en effet par la voie de la révision prévue à l'art. 93 al. 3 LP que le montant de la saisie devra être adapté s'il y a lieu, la décision sur révision de l'Office étant elle-même sujette à plainte.</w:t>
      </w:r>
    </w:p>
    <w:p>
      <w:r>
        <w:rPr>
          <w:b/>
        </w:rPr>
        <w:t>E. 3</w:t>
      </w:r>
    </w:p>
    <w:p>
      <w:r>
        <w:t>La procédure de plainte est gratuite (art. 20a al. 2 ch. 5 LP; 61 al. 2 let. a OELP) et ne donne pas lieu à l'allocation de dépens (art. 62 al. 2 OELP). * * * * *</w:t>
      </w:r>
    </w:p>
    <w:p>
      <w:r>
        <w:t>- 9/10 -</w:t>
      </w:r>
    </w:p>
    <w:p>
      <w:r>
        <w:t>A/2216/2019-CS PAR CES MOTIFS, La Chambre de surveillance : A la forme : Déclare recevable la plainte formée le 11 juin 2019 par A______ contre le procès-verbal de saisie établi par l'Office cantonal des poursuites le 28 mai 2019 dans la série n° 5______. Au fond : La rejette. Siégeant : Madame Nathalie RAPP, présidente; Messieurs Georges ZUFFEREY et Mathieu HOWALD, juges assesseurs;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- 10/10 -</w:t>
      </w:r>
    </w:p>
    <w:p>
      <w:r>
        <w:t>A/2216/2019-CS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