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DCSO/485/2025 vom 4. September 2025</w:t>
      </w:r>
    </w:p>
    <w:p>
      <w:r>
        <w:t>GE Cour de justice, 2025-09-04, FR</w:t>
      </w:r>
    </w:p>
    <w:p>
      <w:r>
        <w:rPr>
          <w:b/>
        </w:rPr>
        <w:t xml:space="preserve">Quelle: </w:t>
      </w:r>
      <w:r>
        <w:t>https://mcp.opencaselaw.ch/entscheid/ge_gerichte_DCSO_485_2025</w:t>
      </w:r>
    </w:p>
    <w:p>
      <w:r>
        <w:t>FR: GE_GERICHTE DCSO/485/2025 du 4 septembre 2025</w:t>
      </w:r>
    </w:p>
    <w:p>
      <w:r>
        <w:t>IT: GE_GERICHTE DCSO/485/2025 del 4 settembre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la plainte est recevable.</w:t>
      </w:r>
    </w:p>
    <w:p>
      <w:r>
        <w:rPr>
          <w:b/>
        </w:rPr>
        <w:t>E. 2</w:t>
      </w:r>
    </w:p>
    <w:p>
      <w:r>
        <w:t>2.1.1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articles 89-158, 1999, n. 12 ad art. 91).</w:t>
      </w:r>
    </w:p>
    <w:p>
      <w:r>
        <w:t>Il revient à l'office d'interroger le poursuivi, d'inspecter sa demeure, voire les locaux qu'il loue comme bailleur ou locataire, de façon proportionnée aux circonstances (GILLIERON, op. cit., n. 13 et 16 ad art. 91).</w:t>
      </w:r>
    </w:p>
    <w:p>
      <w:r>
        <w:t>La question de savoir si et dans quelle mesure l'enquête officielle menée par l'Office est défectueuse et son résultat inexact ne doit être examinée qu'en ce qui concerne les éléments critiqués par le créancier dans sa plainte (cf. ATF 127 III 572 consid. 3c, JT 2001 II 78).</w:t>
      </w:r>
    </w:p>
    <w:p>
      <w:r>
        <w:t>2.1.2 En cas de séparation, lorsque le parent accueille l’enfant chez lui, il convient, pour déterminer le minimum vital du parent, de prendre en considération l’entier des suppléments pour l’entretien des enfants selon les directives en la matière (ATF 106 III 11 consid. 3a, JdT 1981 II 145). Toutefois, la jurisprudence considère que les contributions d’entretien en faveur des enfants doivent être affectées exclusivement aux besoins de ceux-ci (BlSchK 2007, p. 193 ss). Elles constituent des prestations dont, de par la loi, le parent ne peut pas faire usage pour couvrir ses dettes propres ou pour améliorer son niveau de vie. L’art. 289 al. 1 CC prévoit d’ailleurs que l’enfant est le créancier des prestations d’entretien et celles-ci sont soumises à un régime particulier quant à leur modification (ATF 115 Ia 325 consid. 3, JdT 1992 I 671). Il en va de même des allocations familiales (art. 285a CC), qui sont destinées exclusivement à l’entretien de l’enfant (ATF 137 III 59 consid. 4.2.3 ; arrêt du Tribunal fédéral 5A_451/2019 du 28 janvier 2020 consid. 3.3).</w:t>
      </w:r>
    </w:p>
    <w:p>
      <w:r>
        <w:t>Autrement dit, lorsque le débiteur perçoit, pour le compte de ses enfants, une pension alimentaire et des allocations familiales, celles-ci ne doivent pas être</w:t>
      </w:r>
    </w:p>
    <w:p>
      <w:r>
        <w:t>- 4/5 -</w:t>
      </w:r>
    </w:p>
    <w:p>
      <w:r>
        <w:t>A/2130/2025-CS ajoutées à ses revenus, mais venir en déduction de la base mensuelle d’entretien des enfants, car il s’agit de prestations qui doivent être exclusivement affectées à leurs besoins (OCHSNER, CR LP, 2025, n° 58 ad art. 93 LP). Elles viennent en déduction de l’entretien courant de ces derniers fixé par les lignes directrices (base mensuelle d’entretien); si ces contributions dépassent de loin la mesure usuelle de sorte qu'il subsiste un solde important, après déduction des frais d'entretien de l'enfant, il y a lieu de tenir compte d'une contribution équitable de l'enfant aux charges du ménage, en particulier au loyer (art. 319 al. 1 CC; 104 III 77; DCSO/370/2017 du 13 juillet 2017; OCHSNER, CR LP, 2025, n° 103 et 104 ad art. 93 LP).</w:t>
      </w:r>
    </w:p>
    <w:p>
      <w:r>
        <w:rPr>
          <w:b/>
        </w:rPr>
        <w:t>E. 2.2</w:t>
      </w:r>
    </w:p>
    <w:p>
      <w:r>
        <w:t>En l'espèce, il résulte des investigations effectuées par l'Office que l'intimée perçoit de son ex-époux un montant mensuel de 4'600 fr., lequel comprend une contribution à son propre entretien de 1'250 fr. et des contributions à l'entretien de ses deux filles (1'950 fr. et 960 fr.) auxquelles s'ajoutent des allocations familiales.</w:t>
      </w:r>
    </w:p>
    <w:p>
      <w:r>
        <w:t>La contribution d'entretien perçue par la poursuivie (1'250 fr.) ne couvre pas son minimum vital, composé à tout le moins de sa base mensuelle d'entretien (1'350 fr.) et de son loyer (2'418 fr.), soit 3'768 fr.</w:t>
      </w:r>
    </w:p>
    <w:p>
      <w:r>
        <w:t>Quant aux contributions versées par le père en faveur des enfants, elles ne sauraient être ajoutées aux revenus de la débitrice. Même à considérer qu'une partie de ces contributions (2'910 fr. hors allocations familiales) pourrait servir à couvrir partiellement les charges du ménage de l'intimée, en particulier le loyer, une telle participation ne saurait excéder en l'espèce un montant de 1'700 fr. par mois (2'910 fr. – [2 x 600 fr.], en se limitant à admettre comme charge de chaque enfant le montant de base LP de 600 fr.). Or, avec une telle participation, les charges de l'intimée, réduites à 2'068 fr. par mois (3'768 fr. – 1'700 fr.), sont encore supérieures à ses revenus en 1'250 fr.</w:t>
      </w:r>
    </w:p>
    <w:p>
      <w:r>
        <w:t>Enfin, il n'y a au dossier aucun élément laissant penser que la débitrice a d'autres sources de revenus saisissables. Les montants que son compagnon lui verse pour l'aider ne sont ni fixes ni réguliers et ne sont donc pas saisissables, ce que la plaignante ne soutient du reste pas. C'est par conséquent à juste titre que l'Office a établi l'acte de défaut de biens querellé.</w:t>
      </w:r>
    </w:p>
    <w:p>
      <w:r>
        <w:t>Mal fondée, la plainte sera rejetée.</w:t>
      </w:r>
    </w:p>
    <w:p>
      <w:r>
        <w:rPr>
          <w:b/>
        </w:rPr>
        <w:t>E. 3</w:t>
      </w:r>
    </w:p>
    <w:p>
      <w:r>
        <w:t>La procédure devant l'autorité de surveillance est gratuite (art. 20a al. 2 ch. 5 LP; art. 61 al. 2 let. a OELP) et ne donne pas lieu à l'allocation de dépens (art. 62 al. 2 OELP). * * * * *</w:t>
      </w:r>
    </w:p>
    <w:p>
      <w:r>
        <w:t>- 5/5 -</w:t>
      </w:r>
    </w:p>
    <w:p>
      <w:r>
        <w:t>A/2130/2025-CS PAR CES MOTIFS, La Chambre de surveillance :</w:t>
      </w:r>
    </w:p>
    <w:p>
      <w:r>
        <w:t>A la forme : Déclare recevable la plainte formée le 16 juin 2025 par l'Etat de Genève contre l'acte de défaut de biens, n° 1______, établi le 6 juin 2025 par l'Office cantonal des poursuites. Au fond : La rejette. Siégeant : Madame Verena PEDRAZZINI RIZZI, présidente; Messieurs Alexandre BÖHLER et Anthony HUGUENIN, juges assesseurs; Madame Véronique AMAUDRY-PISCETTA, greffière. La présidente :</w:t>
      </w:r>
    </w:p>
    <w:p>
      <w:r>
        <w:t>La greffière : 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