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DCSO/484/2017 vom 21. September 2017</w:t>
      </w:r>
    </w:p>
    <w:p>
      <w:r>
        <w:t>GE Cour de justice, 2017-09-21, FR</w:t>
      </w:r>
    </w:p>
    <w:p>
      <w:r>
        <w:rPr>
          <w:b/>
        </w:rPr>
        <w:t xml:space="preserve">Quelle: </w:t>
      </w:r>
      <w:r>
        <w:t>https://mcp.opencaselaw.ch/entscheid/ge_gerichte_DCSO_484_2017</w:t>
      </w:r>
    </w:p>
    <w:p>
      <w:r>
        <w:t>FR: GE_GERICHTE DCSO/484/2017 du 21 septembre 2017</w:t>
      </w:r>
    </w:p>
    <w:p>
      <w:r>
        <w:t>IT: GE_GERICHTE DCSO/484/2017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w:t>
      </w:r>
    </w:p>
    <w:p>
      <w:r>
        <w:t>- 4/5 -</w:t>
      </w:r>
    </w:p>
    <w:p>
      <w:r>
        <w:t>A/2161/2017-CS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2.3</w:t>
      </w:r>
    </w:p>
    <w:p>
      <w:r>
        <w:t>Il résulte en l'espèce du dossier que l'Office, bien qu'ayant reçu le 14 septembre 2016 la réquisition de poursuite datée de la veille, n'a établi le commandement de payer que le 30 novembre 2016. Un tel délai n'est pas compatible avec l'exigence de célérité et de diligence prévue par l'art. 69 al. 1 LP et la plainte est, dans cette mesure, bien fondée. La conclusion de la plaignante tendant à l'établissement du commandement de payer est toutefois sans objet.</w:t>
      </w:r>
    </w:p>
    <w:p>
      <w:r>
        <w:t>Une fois le commandement de payer établi, l'Office s'est efforcé de procéder à sa notification, d'abord à l'adresse officielle de la société auprès d'un bureau fiduciaire puis, après qu'il est apparu que cette adresse n'était plus exacte, en mains de son associé-gérant, lequel n'avait toujours pas pu être localisé lors du dépôt de la plainte. S'il y a lieu à cet égard de relever que la procédure de notification suivie par l'Office aurait mérité d'être plus rapide, force est de constater qu'elle n'a pas connu d'interruption significative. Sa (très) longue durée doit être imputée en grande partie à l'inexactitude des indications figurant au Registre du commerce et dans les registres de l'Office cantonal de la population, ainsi qu'aux difficultés en résultant de localiser la débitrice et son organe. Dans ces circonstances particulières, un retard non justifié ne peut être retenu en relation avec la procédure de notification du commandement de payer.</w:t>
      </w:r>
    </w:p>
    <w:p>
      <w:r>
        <w:t>En définitive, il sera constaté que la plainte, bien que recevable, est sans objet.</w:t>
      </w:r>
    </w:p>
    <w:p>
      <w:r>
        <w:rPr>
          <w:b/>
        </w:rPr>
        <w:t>E. 3</w:t>
      </w:r>
    </w:p>
    <w:p>
      <w:r>
        <w:t>La procédure de plainte est gratuite (art. 20a al. 2 ch. 5 LP et art. 61 al. 2 let. a OELP) et il ne peut être alloué aucuns dépens dans cette procédure (art. 62 al. 2 OELP). * * * * *</w:t>
      </w:r>
    </w:p>
    <w:p>
      <w:r>
        <w:t>- 5/5 -</w:t>
      </w:r>
    </w:p>
    <w:p>
      <w:r>
        <w:t>A/2161/2017-CS PAR CES MOTIFS, La Chambre de surveillance : A la forme : Déclare recevable la plainte formée le 17 mai 2017 par A______ SA pour retard non justifié de la part de l'Office des poursuites dans la poursuite n° 16 xxxx80 S. Au fond : Constate qu'elle est sans objet. Raye en conséquence la cause du rôle.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