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DCSO/483/2022 vom 24. November 2022</w:t>
      </w:r>
    </w:p>
    <w:p>
      <w:r>
        <w:t>GE Cour de justice, 2022-11-24, FR</w:t>
      </w:r>
    </w:p>
    <w:p>
      <w:r>
        <w:rPr>
          <w:b/>
        </w:rPr>
        <w:t xml:space="preserve">Quelle: </w:t>
      </w:r>
      <w:r>
        <w:t>https://mcp.opencaselaw.ch/entscheid/ge_gerichte_DCSO_483_2022</w:t>
      </w:r>
    </w:p>
    <w:p>
      <w:r>
        <w:t>FR: GE_GERICHTE DCSO/483/2022 du 24 novembre 2022</w:t>
      </w:r>
    </w:p>
    <w:p>
      <w:r>
        <w:t>IT: GE_GERICHTE DCSO/483/2022 del 24 novembre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une décision sur les modalités d'octroi d'un sursis (SUTER/REINAU, BSK SchKG I, 3ème édition 2021, n. 16 ad art. 123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a en l'espèce été formée en temps utile et dans les formes prévues par la loi par le débiteur poursuivi potentiellement lésé dans ses intérêts juridiquement protégés. La décision contestée, soit le plan de paiement proposé par l'Office pour octroyer un sursis à la réalisation de l'immeuble, peut être contestée par la voie de la plainte. La plainte sera donc déclarée recevable.</w:t>
      </w:r>
    </w:p>
    <w:p>
      <w:r>
        <w:rPr>
          <w:b/>
        </w:rPr>
        <w:t>E. 2.1</w:t>
      </w:r>
    </w:p>
    <w:p>
      <w:r>
        <w:t>L'art. 123 al. 1 LP prévoit que, si le débiteur rend vraisemblable qu'il peut s'acquitter de sa dette par acomptes, et qu'il s'engage à verser à l'office des poursuites des acomptes réguliers et appropriés, le préposé peut renvoyer la réalisation de douze mois au plus, une fois le premier versement effectué. Le montant des acomptes et la date de leurs versements sont fixés par l'office, qui tient compte tant de la situation du débiteur que de celle du créancier (art. 123 al. 3 LP). L'octroi du sursis est soumis à deux conditions. D'une part, le débiteur doit rendre vraisemblable sa capacité à s'acquitter de sa dette par acomptes dans un délai maximum de douze mois (SUTER/REINAU, op. cit., n. 15 ad art. 123 LP). D'autre part, le débiteur doit s'engager à verser des acomptes réguliers et appropriés, dont le premier immédiatement (SUTER/REINAU, op. cit., n. 25 ad art. 123 LP). Le poursuivi ne peut obtenir un sursis à la réalisation que s'il verse immédiatement le premier acompte fixé (BETTSCHART, Commentaire romand, Poursuite et faillite, n. 7 ad art. 123 LP). Lorsque l'office des poursuites contrôle sous l'angle de la vraisemblance si le poursuivi remplit les conditions, il doit non seulement tenir compte des revenus actuels du poursuivi mais également faire une projection pour les mois à venir. Il doit résulter du contrôle de l'office que le poursuivi dispose de suffisamment de</w:t>
      </w:r>
    </w:p>
    <w:p>
      <w:r>
        <w:t>- 4/6 -</w:t>
      </w:r>
    </w:p>
    <w:p>
      <w:r>
        <w:t>A/2365/2022-CS moyens pour rembourser sa dette dans un délai de douze mois. Le sursis à la réalisation ne doit cependant pas permettre au poursuivi de retarder sans raison suffisante la réalisation des biens saisis, notamment si celui-ci dispose d'un patrimoine qui lui permettrait de rembourser plus rapidement sa dette (BETTSCHART, op. cit., n. 8 et 13 ad art. 123 LP). L'office des poursuites fixe d'office le montant des acomptes et la date des versements en tenant compte de la situation du poursuivi et des poursuivants (art. 123 al. 3) et en respectant le cadre légal qui dispose que les acomptes doivent être réguliers et appropriés et le sursis ne pas dépasser une durée de douze mois (art. 123 al. 1). L'office n'est pas lié par la requête de sursis à la réalisation présentée par le poursuivi (SUTER/REINAU, op. cit., n. 16 ad art. 123 LP; BETTSCHART, op. cit., n. 9 ad art. 123 LP). Les acomptes doivent être appropriés (art. 123 al. 1 LP), c'est-à-dire correspondre aux possibilités du poursuivi et au montant de la prétention déduite en poursuite; le montant de chaque acompte ne doit pas nécessairement être identique dans la mesure où la capacité patrimoniale du poursuivi peut varier pendant la durée du sursis. L'office des poursuites peut ainsi prévoir des acomptes progressifs ou dégressifs en fonction de la nature de la prétention déduite en poursuite, des besoins du poursuivant ou de la situation financière du poursuivi. Le premier acompte doit inclure les intérêts et les frais. Les acomptes doivent également être réguliers, c'est-à-dire en principe mensuels. Les versements de tiers doivent être imputés sur les acomptes dus par le poursuivi (ATF 84 III 76; SUTER/REINAU, op. cit., n. 18 ad art. 123 LP; BETTSCHART, op. cit., n. 14 ad art. 123 LP).</w:t>
      </w:r>
    </w:p>
    <w:p>
      <w:r>
        <w:rPr>
          <w:b/>
        </w:rPr>
        <w:t>E. 2.2</w:t>
      </w:r>
    </w:p>
    <w:p>
      <w:r>
        <w:t>En l'espèce, la plaignante soutient que l'Office aurait mal apprécié sa situation patrimoniale, en particulier l'évolution probable de celle-ci compte tenu de la prochaine vente de l'immeuble dont elle est propriétaire. Elle serait ainsi en mesure d'augmenter le montant des acomptes à partir de ce moment-là, ce d'autant plus que son fils s'est engagé à s'acquitter des six derniers acomptes. Elle propose dès lors de les fixer de manière progressive. A cet égard, force est de constater que l'immeuble que souhaite vendre la plaignante fait justement l'objet de la requête des créancières en réalisation. La plaignante ne peut dès lors plus en disposer sans l'autorisation du préposé (cf. art. 96 LP). Au demeurant, elle ne rend pas vraisemblable que la vente de gré à gré (hors procédure d'exécution forcée) serait à bout touchant, aucune offre ferme d'achat ne figurant au dossier. Enfin, l'allégation selon laquelle le produit de la vente qu'elle serait amenée à percevoir après désintéressement de ses créanciers hypothécaires s'élèverait à quelque 2'000'000 fr., ce qui lui permettrait de s'acquitter de la dette envers les créancières poursuivantes, n'est pas documentée. S'agissant de l'engagement de son fils d'assumer le paiement des six derniers acomptes, celui-ci n'est pas suffisant pour rendre vraisemblable la capacité de la plaignante de s'acquitter de l'intégralité de la dette, de manière régulière et dans le</w:t>
      </w:r>
    </w:p>
    <w:p>
      <w:r>
        <w:t>- 5/6 -</w:t>
      </w:r>
    </w:p>
    <w:p>
      <w:r>
        <w:t>A/2365/2022-CS délai légal. Cela est d'autant plus vrai que l'engagement de son fils, dont l'Office ignore la situation financière, ne couvre pas l'intégralité de la dette et la plaignante ne rend pas vraisemblable sa capacité à pouvoir s'acquitter du montant qu'elle propose pour les six premiers mois, aucun versement n'ayant été effectué en mains de l'Office. Eu égard à ce qui précède, la plainte doit être rejetée.</w:t>
      </w:r>
    </w:p>
    <w:p>
      <w:r>
        <w:rPr>
          <w:b/>
        </w:rPr>
        <w:t>E. 3</w:t>
      </w:r>
    </w:p>
    <w:p>
      <w:r>
        <w:t>La procédure de plainte est gratuite (art. 20a al. 2 ch. 5 LP et art. 61 al. 2 let. a OELP) et il ne peut être alloué aucun dépens (62 al. 2 OELP).</w:t>
      </w:r>
    </w:p>
    <w:p>
      <w:r>
        <w:t>* * * * *</w:t>
      </w:r>
    </w:p>
    <w:p>
      <w:r>
        <w:t>- 6/6 -</w:t>
      </w:r>
    </w:p>
    <w:p>
      <w:r>
        <w:t>A/2365/2022-CS PAR CES MOTIFS, La Chambre de surveillance : A la forme : Déclare recevable la plainte formée le 15 juillet 2022 par A______ contre la décision de l'Office cantonal des poursuites du 6 juillet 2022 dans la poursuite n° 1______. Au fond : La rejette. Siégeant : Madame Verena PEDRAZZINI RIZZI, présidente; Madame Natalie OPPATJA et Monsieur Anthony HUGUENIN,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