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DCSO/483/2019 vom 7. November 2019</w:t>
      </w:r>
    </w:p>
    <w:p>
      <w:r>
        <w:t>GE Cour de justice, 2019-11-07, FR</w:t>
      </w:r>
    </w:p>
    <w:p>
      <w:r>
        <w:rPr>
          <w:b/>
        </w:rPr>
        <w:t xml:space="preserve">Quelle: </w:t>
      </w:r>
      <w:r>
        <w:t>https://mcp.opencaselaw.ch/entscheid/ge_gerichte_DCSO_483_2019</w:t>
      </w:r>
    </w:p>
    <w:p>
      <w:r>
        <w:t>FR: GE_GERICHTE DCSO/483/2019 du 7 novembre 2019</w:t>
      </w:r>
    </w:p>
    <w:p>
      <w:r>
        <w:t>IT: GE_GERICHTE DCSO/483/2019 del 7 novembre 2019</w:t>
      </w:r>
    </w:p>
    <w:p>
      <w:pPr>
        <w:pStyle w:val="Heading2"/>
      </w:pPr>
      <w:r>
        <w:t>Regeste</w:t>
      </w:r>
    </w:p>
    <w:p>
      <w:r>
        <w:t>Résumé: Exigence de précision de la description des objets à séquestrer dans l'ordonnance de séquestre (en l'espèce des actions d'une société non cotée).</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- 4/7 -</w:t>
      </w:r>
    </w:p>
    <w:p>
      <w:r>
        <w:t>A/1980/2019-CS</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w:t>
      </w:r>
    </w:p>
    <w:p>
      <w:r>
        <w:t>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w:t>
      </w:r>
    </w:p>
    <w:p>
      <w:r>
        <w:rPr>
          <w:b/>
        </w:rPr>
        <w:t>E. 2.2</w:t>
      </w:r>
    </w:p>
    <w:p>
      <w:r>
        <w:t>Selon l'art. 274 al. 2 ch. 4,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w:t>
      </w:r>
    </w:p>
    <w:p>
      <w:r>
        <w:t>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w:t>
      </w:r>
    </w:p>
    <w:p>
      <w:r>
        <w:t>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w:t>
      </w:r>
    </w:p>
    <w:p>
      <w:r>
        <w:t>Si enfin les actions revêtent la forme d'un titre intermédié, leur séquestre devra s'effectuer par l'envoi au dépositaire d'un avis de séquestre (art. 14 al. 1 LTI).</w:t>
      </w:r>
    </w:p>
    <w:p>
      <w:r>
        <w:rPr>
          <w:b/>
        </w:rPr>
        <w:t>E. 2.3</w:t>
      </w:r>
    </w:p>
    <w:p>
      <w:r>
        <w:t>Dans le cas d'espèce, l'Office a expliqué ne pas avoir été en mesure de déterminer, à la lecture de l'ordonnance de séquestre, si celui-ci portait sur des actions émises – soit sur des papiers-valeur – ou sur des créances de l'actionnaire</w:t>
      </w:r>
    </w:p>
    <w:p>
      <w:r>
        <w:t>- 5/7 -</w:t>
      </w:r>
    </w:p>
    <w:p>
      <w:r>
        <w:t>A/1980/2019-CS contre la société. Dans le doute, il avait résolu d'adresser à la société, et non à l'actionnaire lui-même, un avis de séquestre.</w:t>
      </w:r>
    </w:p>
    <w:p>
      <w:r>
        <w:t>Les incertitudes de l'Office sont, dans une certaine mesure, compréhensibles. L'ordonnance de séquestre manque en effet de clarté dès lors que l'on ignore si le terme "détenues" désigne le droit de propriété du débiteur sur les objets à séquestrer ou s'il se réfère à leur lieu de situation, en ce sens qu'ils pourraient être séquestrés en ses mains. De la même manière, la locution "dans la société…" donne à penser que le séquestre vise des droits – et donc des créances – et non des titres, communément désignés comme "actions de la société…".</w:t>
      </w:r>
    </w:p>
    <w:p>
      <w:r>
        <w:t>Est cependant décisif le fait que les éléments patrimoniaux à séquestrer sont désignés comme des actions, ce qui, dans le contexte d'une ordonnance de séquestre, doit être compris comme s'appliquant à des titres émis (cf. à cet égard arrêt du Tribunal fédéral 5A_824 2010 précité consid. 3.2), que ce soit sous forme physique ou sous forme de titres intermédiés. L'Office devait donc comprendre de l'ordonnance que le séquestre portait sur des actions émises physiquement et partant exécuter le séquestre en mains du débiteur lui-même, désigné par l'ordonnance comme le détenteur des titres en question.</w:t>
      </w:r>
    </w:p>
    <w:p>
      <w:r>
        <w:t>La plainte est ainsi, dans cette mesure, bien fondée.</w:t>
      </w:r>
    </w:p>
    <w:p>
      <w:r>
        <w:rPr>
          <w:b/>
        </w:rPr>
        <w:t>E. 3</w:t>
      </w:r>
    </w:p>
    <w:p>
      <w:r>
        <w:t>A titre subsidiaire, l'Office fait valoir que la plainte serait en tout état devenue sans objet du fait de la faillite de SI B______ SA, intervenue dans l'intervalle.</w:t>
      </w:r>
    </w:p>
    <w:p>
      <w:r>
        <w:rPr>
          <w:b/>
        </w:rPr>
        <w:t>E. 3.1</w:t>
      </w:r>
    </w:p>
    <w:p>
      <w:r>
        <w:t>La déclaration de faillite entraîne la dissolution de la société (art. 736 ch. 3 CO) et son entrée en liquidation (art. 738 CO), laquelle s'opère selon les règles de la faillite (art. 740 al. 3 1ère phrase CO).</w:t>
      </w:r>
    </w:p>
    <w:p>
      <w:r>
        <w:t>La dissolution de la société anonyme et sa mise en liquidation subséquente n'entraîne pas pour les actionnaires la perte de leurs droits, incorporés le cas échéant dans un papier-valeur. Ceux-ci conservent au contraire un droit à un dividende de liquidation (art. 660 al. 2 CO) subordonné au désintéressement préalable de la totalité des créanciers sociaux (cf. art. 745 CO pour la liquidation ordinaire). Lorsque la liquidation se déroule selon les règles de la faillite, l'exercice par les actionnaires de leur droit à un éventuel dividende de liquidation supposera en principe la révocation préalable de la faillite (art. 195 LP).</w:t>
      </w:r>
    </w:p>
    <w:p>
      <w:r>
        <w:rPr>
          <w:b/>
        </w:rPr>
        <w:t>E. 3.2</w:t>
      </w:r>
    </w:p>
    <w:p>
      <w:r>
        <w:t>Il résulte de ce qui précède que la faillite de SI B______ SA n'a pas eu pour conséquence l'extinction des droits de son actionnaire, le débiteur poursuivi, ni l'annulation des actions dans lesquelles, à en croire l'ordonnance de séquestre, ces droits auraient été incorporés.</w:t>
      </w:r>
    </w:p>
    <w:p>
      <w:r>
        <w:t>Il ne résulte par ailleurs pas du dossier que la liquidation de la faillite ne permettra pas un désintéressement complet de l'ensemble des créanciers sociaux, avec pour conséquence que la faillite pourrait être révoquée et un dividende de liquidation versé à l'actionnaire. En particulier, le jugement du _____ 2019 précise que la faillite est déclarée au motif que la société avait cessé ses paiements; or un tel</w:t>
      </w:r>
    </w:p>
    <w:p>
      <w:r>
        <w:t>- 6/7 -</w:t>
      </w:r>
    </w:p>
    <w:p>
      <w:r>
        <w:t>A/1980/2019-CS constat peut être lié à une crise de liquidités passagère et n'implique pas nécessairement l'existence d'un surendettement, soit d'une situation où la valeur des avoirs sociaux est inférieure aux dettes. L'hypothèse qu'une réalisation des actifs sociaux, en particulier des immeubles dont la faillie paraît être propriétaire, permettrait un désintéressement complet des créanciers sociaux ne peut ainsi, à tout le moins en l'état, être écartée avec certitude.</w:t>
      </w:r>
    </w:p>
    <w:p>
      <w:r>
        <w:t>Il ne peut donc être considéré que la déclaration de faillite aurait eu pour conséquence la disparition des éléments patrimoniaux séquestrés, ou leur perte de valeur totale ou quasi-totale. L'Office ne saurait dès lors refuser d'exécuter le séquestre en se fondant sur l'art. 92 al. 2 LP, applicable par renvoi de l'art. 275 LP.</w:t>
      </w:r>
    </w:p>
    <w:p>
      <w:r>
        <w:rPr>
          <w:b/>
        </w:rPr>
        <w:t>E. 4</w:t>
      </w:r>
    </w:p>
    <w:p>
      <w:r>
        <w:t>La plainte doit ainsi être admise. L'Office sera invité à procéder, en mains du débiteur, au séquestre des actions (sous forme de papiers-valeur) de la société SI B______ SA EN LIQUIDATION qu'il détient.</w:t>
      </w:r>
    </w:p>
    <w:p>
      <w:r>
        <w:rPr>
          <w:b/>
        </w:rPr>
        <w:t>E. 5</w:t>
      </w:r>
    </w:p>
    <w:p>
      <w:r>
        <w:t>La procédure de plainte est gratuite (art. 20a al. 2 ch. 5 LP et art. 61 al. 2 let. a OELP) et il ne peut être alloué aucuns dépens dans cette procédure (art. 62 al. 2 OELP). * * * * *</w:t>
      </w:r>
    </w:p>
    <w:p>
      <w:r>
        <w:t>- 7/7 -</w:t>
      </w:r>
    </w:p>
    <w:p>
      <w:r>
        <w:t>A/1980/2019-CS PAR CES MOTIFS, La Chambre de surveillance : A la forme : Déclare recevable la plainte formée le 23 mai 2019 par A______ SARL contre le procès-verbal de non-lieu de séquestre n° 2______. Au fond : L'admet. Invite l'Office des poursuites à exécuter l'ordonnance de séquestre rendue le 26 mars 2019 par le Tribunal de première instance en procédant, en mains du débiteur séquestré D______, au séquestre des actions (papiers-valeur) de la société SI B______ SA EN LIQUIDATION qu'il détient. Siégeant : Monsieur Patrick CHENAUX, président; Messieurs Georges ZUFFEREY et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