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DCSO/483/2017 vom 21. September 2017</w:t>
      </w:r>
    </w:p>
    <w:p>
      <w:r>
        <w:t>GE Cour de justice, 2017-09-21, FR</w:t>
      </w:r>
    </w:p>
    <w:p>
      <w:r>
        <w:rPr>
          <w:b/>
        </w:rPr>
        <w:t xml:space="preserve">Quelle: </w:t>
      </w:r>
      <w:r>
        <w:t>https://mcp.opencaselaw.ch/entscheid/ge_gerichte_DCSO_483_2017</w:t>
      </w:r>
    </w:p>
    <w:p>
      <w:r>
        <w:t>FR: GE_GERICHTE DCSO/483/2017 du 21 septembre 2017</w:t>
      </w:r>
    </w:p>
    <w:p>
      <w:r>
        <w:t>IT: GE_GERICHTE DCSO/483/2017 del 21 settembre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w:t>
      </w:r>
    </w:p>
    <w:p>
      <w:r>
        <w:t>- 3/5 -</w:t>
      </w:r>
    </w:p>
    <w:p>
      <w:r>
        <w:t>A/1910/2017-CS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t>Des circonstances tenant à l'organisation des offices des poursuites, à leur dotation en personnel ou encore à l'adéquation de leur outil informatique ne justifient pas le non-respect des délais fixés par la loi (ERARD, in op. cit., n° 59 ad art. 17 LP; ATF 107 III 3 consid. 2).</w:t>
      </w:r>
    </w:p>
    <w:p>
      <w:r>
        <w:rPr>
          <w:b/>
        </w:rPr>
        <w:t>E. 2.2</w:t>
      </w:r>
    </w:p>
    <w:p>
      <w:r>
        <w:t>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w:t>
      </w:r>
    </w:p>
    <w:p>
      <w:r>
        <w:rPr>
          <w:b/>
        </w:rPr>
        <w:t>E. 2.3</w:t>
      </w:r>
    </w:p>
    <w:p>
      <w:r>
        <w:t>Il résulte en l'espèce des explications de l'Office ainsi que du dossier que la première action entreprise à la suite du dépôt de la réquisition de continuer la poursuite du 6 juillet 2016 a été l'envoi, en date du 13 mars 2017, d'un avis au tiers débiteur au sens de l'art. 99 LP aux principaux établissements bancaires de la place. Un tel délai de huit mois n'est manifestement pas compatible avec l'exigence de célérité et de diligence résultant de l'art. 89 LP et l'existence – notoire – de difficultés informatiques ne saurait le justifier. Conformément à la première conclusion prise par le plaignant, un retard non justifié sera donc constaté.</w:t>
      </w:r>
    </w:p>
    <w:p>
      <w:r>
        <w:t>- 4/5 -</w:t>
      </w:r>
    </w:p>
    <w:p>
      <w:r>
        <w:t>A/1910/2017-CS</w:t>
      </w:r>
    </w:p>
    <w:p>
      <w:r>
        <w:t>La seconde conclusion du plaignant est en revanche sans objet, l'Office ayant d'ores et déjà procédé à la saisie des biens du poursuivi.</w:t>
      </w:r>
    </w:p>
    <w:p>
      <w:r>
        <w:rPr>
          <w:b/>
        </w:rPr>
        <w:t>E. 3</w:t>
      </w:r>
    </w:p>
    <w:p>
      <w:r>
        <w:t>La procédure de plainte est gratuite (art. 20a al. 2 ch. 5 LP et art. 61 al. 2 let. a OELP) et il ne peut être alloué aucuns dépens dans cette procédure (art. 62 al. 2 OELP). * * * * *</w:t>
      </w:r>
    </w:p>
    <w:p>
      <w:r>
        <w:t>- 5/5 -</w:t>
      </w:r>
    </w:p>
    <w:p>
      <w:r>
        <w:t>A/1910/2017-CS PAR CES MOTIFS, La Chambre de surveillance : A la forme : Déclare recevable la plainte formée le 12 mai 2017 par l'ETAT DE GENEVE, SERVICE CANTONAL D'AVANCE ET DE RECOUVREMENT DES PENSIONS ALIMENTAIRES (SCARPA) pour retard injustifié de la part de l'Office des poursuites dans la poursuite n° 16 xxxx93 N. Au fond : Constate que l'Office des poursuites a tardé de manière injustifiée à procéder à la saisie dans la poursuite n° 16 xxxx93 N. Constate que la plainte est sans objet pour le surplus. Siégeant : Monsieur Patrick CHENAUX, président; Messieurs Michel BERTSCHY et Claude MARCET,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