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DCSO/482/2022 vom 24. November 2022</w:t>
      </w:r>
    </w:p>
    <w:p>
      <w:r>
        <w:t>GE Cour de justice, 2022-11-24, FR</w:t>
      </w:r>
    </w:p>
    <w:p>
      <w:r>
        <w:rPr>
          <w:b/>
        </w:rPr>
        <w:t xml:space="preserve">Quelle: </w:t>
      </w:r>
      <w:r>
        <w:t>https://mcp.opencaselaw.ch/entscheid/ge_gerichte_DCSO_482_2022</w:t>
      </w:r>
    </w:p>
    <w:p>
      <w:r>
        <w:t>FR: GE_GERICHTE DCSO/482/2022 du 24 novembre 2022</w:t>
      </w:r>
    </w:p>
    <w:p>
      <w:r>
        <w:t>IT: GE_GERICHTE DCSO/482/2022 del 24 novembre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t>- 5/8 -</w:t>
      </w:r>
    </w:p>
    <w:p>
      <w:r>
        <w:t>A/1780/2021-CS Elle peut également être déposée en tout temps en cas de nullité de l'acte contesté (art. 22 al. 1 LP). 1.2.1 En l'occurrence, la plainte est dirigée contre l'état de collocation publié une nouvelle fois le ______ 2021, au motif qu'il comporte des mentions à l'égard de cinq productions qui seraient en contradiction avec une précédente décision de la Chambre de surveillance à ce sujet. La voie de la plainte est ouverte pour contester l'état de collocation lorsque celui- ci est imprécis, inintelligible, entaché de vices de forme ou encore lorsque certaines prescriptions de procédure en relation avec le droit matériel n'ont pas été observées (arrêt du Tribunal fédéral 5A_329/2012 du 5 septembre 2012 consid. 4.4.1). La question de savoir si et dans quelle mesure la créance litigieuse doit effectivement participer à la liquidation de la faillite doit en revanche faire l'objet de l'action en contestation de l'état de collocation de l'art. 250 LP (ATF 119 III 84 consid. 2). Dans la mesure où la contestation concerne le respect par l'Office des règles sur la collocation, au sens des articles 56 et 63 OAOF, la plainte est recevable. 1.2.2 Le plaignant a par ailleurs agi en temps utile, soit dans le délai de dix jours après la publication en date du ______ 2021. Pour le surplus, la plainte a été déposée dans les formes prévues par la loi par une personne lésée dans ses intérêts juridiquement protégés. Elle est donc recevable.</w:t>
      </w:r>
    </w:p>
    <w:p>
      <w:r>
        <w:rPr>
          <w:b/>
        </w:rPr>
        <w:t>E. 2</w:t>
      </w:r>
    </w:p>
    <w:p>
      <w:r>
        <w:t>2.1.1 L'administration de la faillite examine chaque production et fait les vérifications nécessaires; elle consulte le failli (art. 244 LP). Elle statue ensuite sur l'admission au passif; elle n'est pas liée par les déclarations du failli (art. 245 LP). Bien que l'administration ait l'obligation de vérifier précisément chaque créance produite, l'examen doit rester sommaire. Elle ne vérifie pas l'existence de la production, mais admet au passif la prétention dont l'existence lui paraît vraisemblable (arrêt du Tribunal fédéral 5A_329/2012 du 5 septembre 2012 consid. 4.4.3). Dans les 60 jours qui suivent l'expiration du délai pour les productions, elle dresse l'état de collocation conformément aux dispositions des art. 219 et 220 LP (art. 247 al. 1 LP). L'état de collocation est déposé à l'office.</w:t>
      </w:r>
    </w:p>
    <w:p>
      <w:r>
        <w:t>2.1.2 En principe, l'administration de la faillite doit statuer sur chaque production. Par exception à ce principe, l'art. 59 al. 3 OAOF prévoit que si l'administration ne peut prendre de décision sur l'admission ou le rejet d'une production, elle doit ou suspendre le dépôt de l'état de collocation ou le compléter ultérieurement et le déposer à nouveau en faisant les publications nécessaires. Dans la première hypothèse, le dépôt de l'état de collocation est suspendu dans son entier. Dans la seconde, il est complété ultérieurement quant aux seules productions en cause (ATF 92 III 27 consid. 1; JAQUES, in Commentaire romand, Poursuite et faillite, 2005, n° 37 ad art. 245 LP).</w:t>
      </w:r>
    </w:p>
    <w:p>
      <w:r>
        <w:t>- 6/8 -</w:t>
      </w:r>
    </w:p>
    <w:p>
      <w:r>
        <w:t>A/1780/2021-CS</w:t>
      </w:r>
    </w:p>
    <w:p>
      <w:r>
        <w:t>2.1.3 S’agissant des créances faisant l’objet d’un procès au moment de l’ouverture de la faillite, l’art. 63 al. 1 OAOF prévoit que l’administration de la faillite n’a pas à statuer sur l’admission au passif de ce type de prétentions, mais doit les mentionner pour mémoire dans l’état de collocation. Elle doit toutefois vérifier si la prétention produite est identique à la prétention déduite en justice quant à la cause et au montant. Le cas échéant, elle exige du créancier qu’il présente les moyens de preuve nécessaires (art. 59 al. 1 OAOF), la violation de cette disposition pouvant faire l’objet d’une plainte dans le délai de l’art 17 al. 2 LP. Si le procès n’est continué ni par la masse ni par les créanciers autorisés à le faire (art. 260 LP), la prétention produite est considérée comme reconnue et est inscrite de façon définitive à l’état de collocation (art. 63 al. 2 OAOF). Si le procès est continué la créance sera, selon le jugement rendu, ou radiée ou colloquée définitivement. Dans un cas comme dans l’autre (art. 63 al. 2 et 3 OAOF), les créanciers n’ont plus le droit d’attaquer l’admission de la créance au passif et l’état de collocation ne fait pas l’objet d’une nouvelle publication (Pierre-Robert Gilliéron, Commentaire, ad art. 244, n° 14).</w:t>
      </w:r>
    </w:p>
    <w:p>
      <w:r>
        <w:t>2.1.4 De manière générale, un état de collocation passé en force ne peut plus être modifié, sauf s'il se révèle qu'une créance a été admise ou écartée manifestement à tort - en raison d'une inadvertance de l'administration de la faillite -, si un rapport de droit s'est modifié depuis la collocation ou encore lorsque des faits nouveaux justifient une révision. Mais, dans tous les cas, on ne peut revenir sur la collocation que pour des motifs qui se sont réalisés ou ont été connus après qu'elle est entrée en force. Il n'est pas question de soumettre à une nouvelle appréciation juridique, en particulier lors de la distribution des deniers, des faits connus au moment de la collocation et d'en tirer argument pour modifier la décision (ATF 139 III 384 consid. 2.2.1).</w:t>
      </w:r>
    </w:p>
    <w:p>
      <w:r>
        <w:rPr>
          <w:b/>
        </w:rPr>
        <w:t>E. 2.2</w:t>
      </w:r>
    </w:p>
    <w:p>
      <w:r>
        <w:t>Aux termes de sa précédente décision du 25 août 2011, entrée en force, la Chambre de céans a retenu que les cinq productions de la SCI devaient être colloquées différemment. Deux d'entre elles pouvaient être mentionnées pour mémoire à l'état de collocation, conformément à l'art. 63 al. 3 OAOF, dès lors qu'il s'agissait de prétentions qui faisaient l'objet de procédures judiciaires déjà pendantes devant les autorités compétentes françaises lors de l'ouverture de la faillite, procédures que la masse en faillite avait poursuivies. S'agissant des trois autres productions, l'Office était invité, en application des art. 247 LP et 59 al. 3 OAOF, à les inscrire en 3ème classe, avec l'indication que la décision définitive à leur sujet resterait suspendue jusqu'à droit jugé. Dix ans après cette décision, l'Office a établi une nouvelle version de l'état de collocation, dans lequel les cinq prétentions de la SCI sont traitées comme des créances subordonnées à des conditions au sens de l'art. 210 LP. Or, il est constant que les prétentions de la SCI ne sont pas des créances conditionnelles mais bien des créances contestées dont l'admission dépend en particulier de l'issue de procédures en France. C'est donc à tort que l'Office a fait application de l'art. 210</w:t>
      </w:r>
    </w:p>
    <w:p>
      <w:r>
        <w:t>- 7/8 -</w:t>
      </w:r>
    </w:p>
    <w:p>
      <w:r>
        <w:t>A/1780/2021-CS LP pour colloquer ces créances, étant rappelé qu'une production ne peut être admise ou écartée sous condition (art. 59 al. 2 OAOF). L'Office n'allègue du reste pas que des éléments nouveaux seraient survenus depuis le prononcé de la décision de la Chambre de surveillance de 25 août 2011, qui justifiaient une modification du traitement de ces productions. Les incertitudes qui entourent l'état des procédures judiciaires françaises et qui retardent effectivement la clôture de la faillite doivent être dissipées, étant précisé que selon le conseil français de la masse en faillite, ces procédures seraient depuis lors radiées. L'Office est ainsi invité à solliciter de l'avocat français de la masse en faillite des précisions sur la radiation de ces procédures et leurs conséquences sur les prétentions. Ces démarches ne sont pas susceptibles de faire obstacle à une éventuelle distribution provisoire en faveur des créanciers de première classe, qui peut intervenir aussi en cas de liquidation sommaire de la faillite. Bien fondée, la plainte sera admise et l'Office invité à inscrire les prétentions de la SCI conformément aux instructions données par la Chambre de surveillance dans sa décision du 25 août 2011.</w:t>
      </w:r>
    </w:p>
    <w:p>
      <w:r>
        <w:rPr>
          <w:b/>
        </w:rPr>
        <w:t>E. 3</w:t>
      </w:r>
    </w:p>
    <w:p>
      <w:r>
        <w:t>La procédure de plainte est gratuite (art. 20a al. 2 ch. 5 LP; 61 al. 2 let. a OELP) et il ne peut être alloué aucuns dépens dans cette procédure (art. 62 al. 2 OELP).</w:t>
      </w:r>
    </w:p>
    <w:p>
      <w:r>
        <w:t>* * * * *</w:t>
      </w:r>
    </w:p>
    <w:p>
      <w:r>
        <w:t>- 8/8 -</w:t>
      </w:r>
    </w:p>
    <w:p>
      <w:r>
        <w:t>A/1780/2021-CS PAR CES MOTIFS, La Chambre de surveillance :</w:t>
      </w:r>
    </w:p>
    <w:p>
      <w:r>
        <w:t>A la forme : Déclare recevable la plainte formée le 21 mai 2021 par A______ à l'encontre de l'état de collocation établi le ______ 2021 par l'Office cantonal des faillites et publié dans la Feuille d'avis officielle du ______ 2021. Au fond : L'admet dans le sens des considérants. Invite l'Office cantonal des faillites à établir un nouvel état de collocation rectifié conformément au dispositif de la décision DCSO/274/2011 du 25 août 2011. Siégeant : Madame Verena PEDRAZZINI RIZZI, présidente; Madame Natalie OPPATJA et Monsieur Anthony HUGUENIN, juges assesseurs; Madame Christel HENZELIN, greffière. 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