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DCSO/482/2012 vom 8. Juni 2012</w:t>
      </w:r>
    </w:p>
    <w:p>
      <w:r>
        <w:t>GE Cour de justice, 2012-06-08, FR</w:t>
      </w:r>
    </w:p>
    <w:p>
      <w:r>
        <w:rPr>
          <w:b/>
        </w:rPr>
        <w:t xml:space="preserve">Quelle: </w:t>
      </w:r>
      <w:r>
        <w:t>https://mcp.opencaselaw.ch/entscheid/ge_gerichte_DCSO_482_2012</w:t>
      </w:r>
    </w:p>
    <w:p>
      <w:r>
        <w:t>FR: GE_GERICHTE DCSO/482/2012 du 8 juin 2012</w:t>
      </w:r>
    </w:p>
    <w:p>
      <w:r>
        <w:t>IT: GE_GERICHTE DCSO/482/2012 del 8 giugno 2012</w:t>
      </w:r>
    </w:p>
    <w:p>
      <w:pPr>
        <w:pStyle w:val="Heading2"/>
      </w:pPr>
      <w:r>
        <w:t>Regeste</w:t>
      </w:r>
    </w:p>
    <w:p>
      <w:r>
        <w:t>Résumé: L'Office a retenu des charges dont le paiement effectif n'est pas démontré. Plainte partiellement admise.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procès-verbal de saisie litigieux a été notifié le 23 octobre 2012. Formée le 2 novembre 2012, la plainte l'a été en temps utile. Respectant pour le surplus les exigences de forme prescrites par la loi (art. 9 al. 1 LaLP), elle est recevable. 2.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ATF 115 III 103 consid. 1c, JdT 1991 II 108) –, l'Office doit d'abord tenir compte de toutes les ressources du débiteur; puis, après avoir déterminé le revenu global brut, il</w:t>
      </w:r>
    </w:p>
    <w:p>
      <w:r>
        <w:t>- 7/11 -</w:t>
      </w:r>
    </w:p>
    <w:p>
      <w:r>
        <w:t>A/3313/2012-CS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Selon les Normes d'insaisissabilité, il convient d'ajouter à la base d'entretien mensuelle (ch. I),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L'Office doit calculer le minimum vital de toute la famille du débiteur, en tenant compte de la base mensuelle d'entretien prévue pour chacun de ses membres ainsi que tous leurs besoins spécifiques. En contrepartie, tous les revenus de la famille seront incorporés dans le calcul de la quotité saisissable en tenant compte de l'obligation de chacun de ses membres de contribuer aux charges indispensables de la communauté familiales (OCHSNER, Le minimum vital (art. 93 al. 1 LP), in SJ 2012 II 119 ss, 127). Seuls les montants effectivement payés doivent être pris en compte (OCHSNER, in CR-LP, ad art. 93 n° 82 s., et in SJ 2012 II 127).</w:t>
      </w:r>
    </w:p>
    <w:p>
      <w:r>
        <w:rPr>
          <w:b/>
        </w:rPr>
        <w:t>E. 3</w:t>
      </w:r>
    </w:p>
    <w:p>
      <w:r>
        <w:t>et 7 al. 1 LaLP) contre des mesures non attaquables par la voie judiciaire (art. 17 al. 1 LP). Il est constant qu'un procès-verbal de saisie est une mesure sujette à plainte, que la plaignante, créancière, a qualité pour contester par cette voie.</w:t>
      </w:r>
    </w:p>
    <w:p>
      <w:r>
        <w:rPr>
          <w:b/>
        </w:rPr>
        <w:t>E. 3.1</w:t>
      </w:r>
    </w:p>
    <w:p>
      <w:r>
        <w:t>Il y a premièrement lieu de constater que le grief de la plaignante relatif à la comptabilisation à double des frais de garde de l'enfant de R______ est devenu sans objet. Faisant application de l'art. 17 al. 4 LP, l'Office a en effet corrigé cette erreur dans le délai de réponse à la plainte. Il a ainsi supprimé le poste superflu et l'a remplacé par les frais de repas de la débitrice, dont le montant apparaît conforme au chiffre II.4.b) des Normes d'insaisissabilité ainsi qu'à la jurisprudence pertinente en la matière (cf. SJ 2000 II 215).</w:t>
      </w:r>
    </w:p>
    <w:p>
      <w:r>
        <w:rPr>
          <w:b/>
        </w:rPr>
        <w:t>E. 3.2</w:t>
      </w:r>
    </w:p>
    <w:p>
      <w:r>
        <w:t>Pour ce qui est deuxièmement de la charge de loyer retenue à concurrence de 2'750 fr. par mois, force est de constater que l'Office disposait, au jour de</w:t>
      </w:r>
    </w:p>
    <w:p>
      <w:r>
        <w:t>- 8/11 -</w:t>
      </w:r>
    </w:p>
    <w:p>
      <w:r>
        <w:t>A/3313/2012-CS l'exécution de la saisie, de pièces attestant de son paiement effectif. Le grief est donc infondé et sera rejeté.</w:t>
      </w:r>
    </w:p>
    <w:p>
      <w:r>
        <w:rPr>
          <w:b/>
        </w:rPr>
        <w:t>E. 3.3</w:t>
      </w:r>
    </w:p>
    <w:p>
      <w:r>
        <w:t>Les Normes d'insaisissabilité prévoient, depuis 2010, un montant de 50 fr. pour l'entretien des animaux de compagnie (ch. II.8; OCHSNER, in SJ 2012 II 142 s.). Il n'en demeure pas moins que la détention d'un animal de compagnie doit être avérée et que les justificatifs liés à leur entretien doivent avoir été produits par le débiteur (cf. DCSO/503/2009 consid. 5b).</w:t>
      </w:r>
    </w:p>
    <w:p>
      <w:r>
        <w:t>En l'espèce, la détention d'un animal de compagnie est expressément contestée par la plaignante et aucun justificatif du paiement des frais d'entretien d'un tel animal n'a été versé à la procédure. Les seules déclarations de la débitrice à cet égard sont donc insuffisantes.</w:t>
      </w:r>
    </w:p>
    <w:p>
      <w:r>
        <w:t>La plainte s'avère ainsi bien fondée sur ce point et le montant querellé de 50 fr. doit être expurgé des charges mensuelles de la débitrice.</w:t>
      </w:r>
    </w:p>
    <w:p>
      <w:r>
        <w:rPr>
          <w:b/>
        </w:rPr>
        <w:t>E. 3.4</w:t>
      </w:r>
    </w:p>
    <w:p>
      <w:r>
        <w:t>La plaignante conteste enfin la réalité des frais médicaux retenus par l'Office en 170 fr.</w:t>
      </w:r>
    </w:p>
    <w:p>
      <w:r>
        <w:t>Si le minimum vital comprend les frais médicaux visés par le chiffre II.9 des Normes d'insaisissabilité, soit ceux au sens large (médicaments, dentiste, franchise, etc.), encore faut-il qu'ils soient actuels ou futurs mais non antérieurs à l'exécution de la saisie (ATF 85 III 67, JdT 1959 II 84) et qu'ils ne soient pas payés par une assurance (ATF 129 III 242, JdT 2003 II 104, SJ 2003 I 375; DCSO/223/2006 du 6 avril 2006; OCHSNER, op. cit., ad art. 93 n° 144 ss, et in SJ 2012 II 141).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En l'espèce, l'Office a retenu 170 fr. au titre de frais médicaux non remboursés au seul motif que, ne réglant pas ses primes d'assurance-maladie, la débitrice devait "forcément payer ses factures médicales et médicaments". Force est toutefois de constater que les problèmes de santé allégués par la débitrice ne sont démontrés par aucun certificat médical. Le fait que les frais actuels de médecin et de médicaments ne sont pas pris en charge par son assurance-maladie n'est pas non plus démontré, aucun justificatif de leur paiement effectif ne figurant au dossier. La prise en compte de la somme de 170 fr. ne se justifie donc pas.</w:t>
      </w:r>
    </w:p>
    <w:p>
      <w:r>
        <w:t>- 9/11 -</w:t>
      </w:r>
    </w:p>
    <w:p>
      <w:r>
        <w:t>A/3313/2012-CS La plainte est donc également bien fondée sur ce point.</w:t>
      </w:r>
    </w:p>
    <w:p>
      <w:r>
        <w:rPr>
          <w:b/>
        </w:rPr>
        <w:t>E. 4</w:t>
      </w:r>
    </w:p>
    <w:p>
      <w:r>
        <w:t>En définitive, expurgées des deux postes susvisés (consid. 3.3 et 3.4 ci-dessus), les charges mensuelles incompressibles de la plaignante ascendent à 5'542 fr. (entretien de base: 1'350 fr.; entretien de base R______: 100 fr.; loyer: 2'750 fr.; frais de transport: 70 fr.; frais de repas: 242 fr.; frais de garde R______: 500 fr.; frais de garde L______: 230 fr.; frais d'écolage L______: 300 fr.), pour des revenus de 6'000 fr. par mois. La quotité saisissable doit donc être fixée à 458 fr. par mois et le procès-verbal de saisie litigieux modifié dans ce sens.</w:t>
      </w:r>
    </w:p>
    <w:p>
      <w:r>
        <w:rPr>
          <w:b/>
        </w:rPr>
        <w:t>E. 5</w:t>
      </w:r>
    </w:p>
    <w:p>
      <w:r>
        <w:t>La procédure de plainte est gratuite (art. 20a al. 2 ch. 5 LP et art. 61 al. 2 let. a OELP) et il ne peut être alloué aucun dépens dans cette procédure (art. 62 al. 2 OELP). * * * * *</w:t>
      </w:r>
    </w:p>
    <w:p>
      <w:r>
        <w:t>- 10/11 -</w:t>
      </w:r>
    </w:p>
    <w:p>
      <w:r>
        <w:t>A/3313/2012-CS PAR CES MOTIFS, La Chambre de surveillance : A la forme : Déclare recevable la plainte formée le 2 novembre 2012 par Mme A______ contre le procès-verbal de saisie expédié le 19 octobre 2012 par l'Office des poursuites dans le cadre des poursuites formant la série n° 12 xxxx69 V. Au fond : Constate qu'elle est partiellement devenue sans objet en cours de procédure. L'admet partiellement pour le surplus. Fixe la saisie de gains en mains de Mme R______ à 458 fr. par mois. Invite l'Office des poursuites à modifier le procès-verbal de saisie au sens des considérants et du présent dispositif. Siégeant : Monsieur Grégory BOVEY, président; Madame Natalie OPPATJA et Monsieur Denis KELLER, juges assesseur(e)s; Madame Véronique PISCETTA, greffière.</w:t>
      </w:r>
    </w:p>
    <w:p>
      <w:r>
        <w:t>Le président : Grégory BOVEY</w:t>
      </w:r>
    </w:p>
    <w:p>
      <w:r>
        <w:t>La greffière : Véronique PISCETTA</w:t>
      </w:r>
    </w:p>
    <w:p>
      <w:r>
        <w:t>- 11/11 -</w:t>
      </w:r>
    </w:p>
    <w:p>
      <w:r>
        <w:t>A/3313/2012-CS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