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DCSO/481/2018 vom 16. November 2017</w:t>
      </w:r>
    </w:p>
    <w:p>
      <w:r>
        <w:t>GE Cour de justice, 2017-11-16, FR</w:t>
      </w:r>
    </w:p>
    <w:p>
      <w:r>
        <w:rPr>
          <w:b/>
        </w:rPr>
        <w:t xml:space="preserve">Quelle: </w:t>
      </w:r>
      <w:r>
        <w:t>https://mcp.opencaselaw.ch/entscheid/ge_gerichte_DCSO_481_2018</w:t>
      </w:r>
    </w:p>
    <w:p>
      <w:r>
        <w:t>FR: GE_GERICHTE DCSO/481/2018 du 16 novembre 2017</w:t>
      </w:r>
    </w:p>
    <w:p>
      <w:r>
        <w:t>IT: GE_GERICHTE DCSO/481/2018 del 16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A qualité pour former une plainte au sens de l'art. 17 LP toute personne touchée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BAK SchKG I, 2ème éd., 2010, n. 40 ad art. 17 LP; DIETH/WOHL, KuKo SchKG, 2ème éd., 2014, n. 9 ad art. 17 LP). La qualité pour porter plainte sera généralement reconnue au poursuivant (GILLIERON, Commentaire LP, n. 161 ad art. 17 LP).</w:t>
      </w:r>
    </w:p>
    <w:p>
      <w:r>
        <w:rPr>
          <w:b/>
        </w:rPr>
        <w:t>E. 1.2</w:t>
      </w:r>
    </w:p>
    <w:p>
      <w:r>
        <w:t>En l'espèce, le plaignant, poursuivant, faisant valoir un déni de justice, sa plainte, qui répond par ailleurs aux exigences minimales de forme (art. 9 al. 1 et 2 LaLP; 65 al. 1 et 2 LPA, applicable par renvoi de l'art. 9 al. 4 LaLP), est recevable.</w:t>
      </w:r>
    </w:p>
    <w:p>
      <w:r>
        <w:rPr>
          <w:b/>
        </w:rPr>
        <w:t>E. 2</w:t>
      </w:r>
    </w:p>
    <w:p>
      <w:r>
        <w:t>La procédure de plainte est gratuite (art. 20a al. 2 ch. 5 LP et art. 61 al. 2 let. a OELP). * * * * *</w:t>
      </w:r>
    </w:p>
    <w:p>
      <w:r>
        <w:t>- 6/6 -</w:t>
      </w:r>
    </w:p>
    <w:p>
      <w:r>
        <w:t>A/2260/2018-CS PAR CES MOTIFS, La Chambre de surveillance : A la forme : Déclare recevable la plainte formée le 2 juillet 2018 par A______. Au fond : La rejette. Siégeant : Madame Pauline ERARD, présidente; Messieurs Georges ZUFFEREY et Mathieu HOWALD, juges assesseurs ;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2.2</w:t>
      </w:r>
    </w:p>
    <w:p>
      <w:r>
        <w:t>En l'espèce, selon les indications données par le plaignant, l'Office a porté à l'inventaire les participations de B______ dans F______, H______ et G______. Il est manifeste qu'à ce stade l'Office ignore si les actions respectivement les parts des différentes sociétés dont le failli est actionnaire (détenteur de parts) ont été émises. Il appartiendra à l'Office d'éclaircir ce point et, cas échéant, de prendre les mesures qui s'imposent pour en assurer la conservation. Il appartiendra également à l'Office, notamment, d'interroger le failli sur la société E______, dont il était administrateur, et cas échéant de se rendre dans les locaux des sociétés concernées et de solliciter éventuellement une expertise concernant la valeur des titres détenus par celui-ci. Les mesures de sûreté ne pouvant porter que sur les biens du failli, celles-ci ne sauraient concerner des comptes de sociétés tierces, comme le voudrait le plaignant. Il n'appartient pas non plus à l'Office de solliciter la radiation de sociétés dont le failli est administrateur ou gérant. Il résulte de ce qui précède, que la procédure de faillite est en cours, et que l'Office a procédé à ce jour aux mesures qui lui incombent, sans qu'un déni de justice ne puisse lui être reproché. La plainte, à tout le moins prématurée, doit être rejetée. L'Office est toutefois invité à poursuivre ses investigations avec diligence, en faisant usage de tous les moyens à sa disposition, afin de déterminer le patrimoine du failli.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