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DCSO/47/2016 vom 28. Januar 2016</w:t>
      </w:r>
    </w:p>
    <w:p>
      <w:r>
        <w:t>GE Cour de justice, 2016-01-28, FR</w:t>
      </w:r>
    </w:p>
    <w:p>
      <w:r>
        <w:rPr>
          <w:b/>
        </w:rPr>
        <w:t xml:space="preserve">Quelle: </w:t>
      </w:r>
      <w:r>
        <w:t>https://mcp.opencaselaw.ch/entscheid/ge_gerichte_DCSO_47_2016</w:t>
      </w:r>
    </w:p>
    <w:p>
      <w:r>
        <w:t>FR: GE_GERICHTE DCSO/47/2016 du 28 janvier 2016</w:t>
      </w:r>
    </w:p>
    <w:p>
      <w:r>
        <w:t>IT: GE_GERICHTE DCSO/47/2016 del 28 gennaio 2016</w:t>
      </w:r>
    </w:p>
    <w:p>
      <w:pPr>
        <w:pStyle w:val="Heading2"/>
      </w:pPr>
      <w:r>
        <w:t>Erwägungen</w:t>
      </w:r>
    </w:p>
    <w:p>
      <w:r>
        <w:rPr>
          <w:b/>
        </w:rPr>
        <w:t>E. 1.1</w:t>
      </w:r>
    </w:p>
    <w:p>
      <w:r>
        <w:t>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7B.126/2003 du 31 juillet 2003).</w:t>
      </w:r>
    </w:p>
    <w:p>
      <w:r>
        <w:rPr>
          <w:b/>
        </w:rPr>
        <w:t>E. 1.2</w:t>
      </w:r>
    </w:p>
    <w:p>
      <w:r>
        <w:t>En l'espèce, après avoir eu connaissance du résultat de l'expertise réalisée par l'architecte mandaté par l'Office, le débiteur poursuivi et propriétaire de l'immeuble mis en gage, a requis de la Chambre de céans, dans les délai et forme prescrits par la loi, qu'une nouvelle estimation soit effectuée par un second expert. Elle a en outre payé en temps utile l'avance de frais fixée par ordonnance du 7 août 2015.</w:t>
      </w:r>
    </w:p>
    <w:p>
      <w:r>
        <w:t>La demande de nouvelle expertise est partant recevable.</w:t>
      </w:r>
    </w:p>
    <w:p>
      <w:r>
        <w:rPr>
          <w:b/>
        </w:rPr>
        <w:t>E. 2.1</w:t>
      </w:r>
    </w:p>
    <w:p>
      <w:r>
        <w:t>En vertu de l'art. 97 al. 1 LP, applicable par renvoi de l'art. 155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 Aux termes de l'art. 9 al. 1 ORFI, l'estimation doit déterminer la valeur vénale présumée de l'immeuble et de ses accessoires, sans égard au montant de la taxe cadastrale ou de la taxe de l'assurance contre l'incendie.</w:t>
      </w:r>
    </w:p>
    <w:p>
      <w:r>
        <w:t>- 4/7 -</w:t>
      </w:r>
    </w:p>
    <w:p>
      <w:r>
        <w:t>A/2538/2015-CS La valeur d'estimation d'un bien immobilier doit être fixée en fonction du produit prévisible de sa vente aux enchères forcées (DE GOTTRAU, in Commentaire romand LP, 2005,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w:t>
      </w:r>
    </w:p>
    <w:p>
      <w:r>
        <w:t>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w:t>
      </w:r>
    </w:p>
    <w:p>
      <w:r>
        <w:rPr>
          <w:b/>
        </w:rPr>
        <w:t>E. 2.2</w:t>
      </w:r>
    </w:p>
    <w:p>
      <w:r>
        <w:t>En l'espèce, la Chambre de céans constate que les deux expertises ont été réalisées par des experts dont aucun élément ne permet de retenir qu'ils ne disposeraient pas de compétences comparables. Elles comportent toutes les deux une présentation détaillée des biens immobiliers, de leurs caractéristiques et de leur situation géographique. Une visite des lieux a été effectuée et des photos ont été annexées.</w:t>
      </w:r>
    </w:p>
    <w:p>
      <w:r>
        <w:t>Les deux expertises aboutissent à un résultat relativement similaire puisque l'écart séparant les valeurs vénales retenues (6'862'000 fr. pour le premier expert et 6'500'000 fr. pour le second) est légèrement supérieur à 5%. La différence entre ces deux montants provient essentiellement de ce que le second expert a retenu une valeur de marché légèrement inférieure pour la villa et le garage</w:t>
      </w:r>
    </w:p>
    <w:p>
      <w:r>
        <w:t>- 5/7 -</w:t>
      </w:r>
    </w:p>
    <w:p>
      <w:r>
        <w:t>A/2538/2015-CS (1'200 fr. par m³ pour la villa et 400 fr. par m³ pour le garage, par rapport à 1'300 fr. par m³ et 500 fr. par m³ respectivement pour le premier expert) et leur a appliqué un taux de vétusté de 5% alors que le premier expert y a renoncé, relevant que les constructions dataient de 2012 et que leur état d'entretien était bon. Il s'agit là de questions d'appréciation auxquelles les experts ont répondu selon leurs connaissances du marché et leur jugement personnel sans que l'on puisse considérer que l'une ou l'autre des positions retenues serait exacte et l'autre erronée. La Chambre de surveillance fixera dans ces conditions la valeur de l'immeuble mis en gage au montant de 6'700'000 fr., correspondant à la moyenne arrondie des valeurs retenues dans les deux expertises ([6'862'000 fr. + 6'500'000 fr.] ÷ 2 = 6'681'000 fr., arrondis à 6'700'000 fr.).</w:t>
      </w:r>
    </w:p>
    <w:p>
      <w:r>
        <w:rPr>
          <w:b/>
        </w:rPr>
        <w:t>E. 3.1</w:t>
      </w:r>
    </w:p>
    <w:p>
      <w:r>
        <w:t>Le second expert a arrêté ses honoraires à 3'300 fr., montant qui paraît conforme aux tarifs usuellement pratiqués dans la branche. Sa note d'honoraires du 4 décembre 2015 peut donc être approuvée. La nouvelle expertise ayant été requise par le débiteur poursuivi, son coût restera à la charge de ce dernier (art. 9 al. 1 1ère phr. ORFI), étant précisé qu'il en a d'ores et déjà fait l'avance.</w:t>
      </w:r>
    </w:p>
    <w:p>
      <w:r>
        <w:rPr>
          <w:b/>
        </w:rPr>
        <w:t>E. 3.2</w:t>
      </w:r>
    </w:p>
    <w:p>
      <w:r>
        <w:t>La procédure de plainte est gratuite (art. 20a al. 2 ch. 5 LP, 61 al. 2 let. a OELP). * * * * *</w:t>
      </w:r>
    </w:p>
    <w:p>
      <w:r>
        <w:t>- 6/7 -</w:t>
      </w:r>
    </w:p>
    <w:p>
      <w:r>
        <w:t>A/2538/2015-CS PAR CES MOTIFS, La Chambre de surveillance : A la forme : Déclare recevable la demande de nouvelle expertise de l'immeuble sis x, avenue Z______ à X______, immatriculé au Registre foncier sous n° xxx96 plan xx4 de la commune de P______, formée par M. N______ le 22 juillet 2015 dans le cadre de la poursuite en réalisation des gage immobilier n° 13 xxxx79 M. Au fond : Fixe à 6'700'000 fr. la valeur d'estimation de l'immeuble sis x, avenue Z______ à X______, immatriculé au Registre foncier sous n° xxx96 plan xx4 de la commune de P______. Fixe à 3'300 fr. les frais de la nouvelle expertise effectuée par M. T______ et invite les Services financiers du Pouvoir judiciaire à lui verser ce montant. Met ces frais à la charge de M. N______, qui les a avancés à hauteur de 3'600 fr. Invite en conséquence les Services financiers du Pouvoir judiciaire à rembourser 300 fr. à M. N______.</w:t>
      </w:r>
    </w:p>
    <w:p>
      <w:r>
        <w:t>Siégeant : Madame Valérie LAEMMEL-JUILLARD, présidente; Madame Florence KRAUSKOPF et Monsieur Patrick CHENAUX, juges; Madame Véronique PISCETTA, greffière.</w:t>
      </w:r>
    </w:p>
    <w:p>
      <w:r>
        <w:t>La présidente : Valérie LAEMMEL-JUILLARD</w:t>
      </w:r>
    </w:p>
    <w:p>
      <w:r>
        <w:t>La greffière : Véronique PISCETTA</w:t>
      </w:r>
    </w:p>
    <w:p>
      <w:r>
        <w:t>Voie de recours :</w:t>
      </w:r>
    </w:p>
    <w:p>
      <w:r>
        <w:t>- 7/7 -</w:t>
      </w:r>
    </w:p>
    <w:p>
      <w:r>
        <w:t>A/2538/2015-CS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