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DCSO/47/2013 vom 29. April 2010</w:t>
      </w:r>
    </w:p>
    <w:p>
      <w:r>
        <w:t>GE Cour de justice, 2010-04-29, FR</w:t>
      </w:r>
    </w:p>
    <w:p>
      <w:r>
        <w:rPr>
          <w:b/>
        </w:rPr>
        <w:t xml:space="preserve">Quelle: </w:t>
      </w:r>
      <w:r>
        <w:t>https://mcp.opencaselaw.ch/entscheid/ge_gerichte_DCSO_47_2013</w:t>
      </w:r>
    </w:p>
    <w:p>
      <w:r>
        <w:t>FR: GE_GERICHTE DCSO/47/2013 du 29 avril 2010</w:t>
      </w:r>
    </w:p>
    <w:p>
      <w:r>
        <w:t>IT: GE_GERICHTE DCSO/47/2013 del 29 aprile 2010</w:t>
      </w:r>
    </w:p>
    <w:p>
      <w:pPr>
        <w:pStyle w:val="Heading2"/>
      </w:pPr>
      <w:r>
        <w:t>Regeste</w:t>
      </w:r>
    </w:p>
    <w:p>
      <w:r>
        <w:t>Résumé: La prétendu créancier a admis que le poursuivi n'était pas le véritable débiteur. Abus de droit réalisé.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29 octobre 2012 contre un acte de l'Office notifié le 18, la plainte l'a été en temps utile. Respectant pour le surplus les exigences de forme prescrites par la loi (art. 9 al. 1 LaLP), elle est recevable. 2. 2.1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w:t>
      </w:r>
    </w:p>
    <w:p>
      <w:r>
        <w:t>- 6/7 -</w:t>
      </w:r>
    </w:p>
    <w:p>
      <w:r>
        <w:t>A/3249/2012-CS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consid. 3b). Plus récemment, le Tribunal fédéral a admis le caractère abusif de la poursuite en raison de son montant, qui était manifestement exorbitant et, par conséquent, à l'évidence de nature à porter atteinte au crédit et à la réputation de la partie poursuivie (arrêt du Tribunal fédéral 7B.118/2005 du 11 août 2005).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5A_595/2012 du 24 octobre 2012 consid. 4; 5A_588/2011 du 18 novembre 2011 consid. 3.2; 5A_250/2007 du 19 septembre 2007 consid. 3.1). 2.2 En l'espèce, la Chambre de céans constate que M. N______, représentant valablement ses parents M. et Mme M______, a expressément admis en audience que Me X______ n'était pas leur véritable débiteur. Cet aveu judiciaire suffit à considérer que la poursuite litigieuse est constitutive d'un abus de droit au sens de la jurisprudence susrappelée. Il est vrai que les intimés ont introduit leur poursuite dans l'année qui a suivi l'évacuation litigieuse, ce qui pourrait accréditer la thèse qu'ils entendaient sauvegarder le délai de prescription de l'action fondée sur une responsabilité délictuelle. Cet indice ne suffit toutefois pas à renverser le constat que la poursuite a été engagée pour un montant sans aucune proportion avec la valeur des biens visés en audience par M. N______ et, comme cela été admis devant la Chambre de céans, en l'absence de toute créance à l'encontre du plaignant. Dans ces conditions, l'on doit admettre que la poursuite litigieuse n'a été introduite que dans l'unique dessein de porter atteinte au crédit économique de ce dernier. Il suit de là que la plainte doit être admise et la nullité de la poursuite n° 12 xxxx91 C constatée.</w:t>
      </w:r>
    </w:p>
    <w:p>
      <w:r>
        <w:rPr>
          <w:b/>
        </w:rPr>
        <w:t>E. 3</w:t>
      </w:r>
    </w:p>
    <w:p>
      <w:r>
        <w:t>La procédure de plainte est gratuite (art. 20a al. 2 ch. 5 LP et art. 61 al. 2 let. a OELP) et il ne peut être alloué aucun dépens dans cette procédure (art. 62 al. 2 OELP).</w:t>
      </w:r>
    </w:p>
    <w:p>
      <w:r>
        <w:t>- 7/7 -</w:t>
      </w:r>
    </w:p>
    <w:p>
      <w:r>
        <w:t>A/3249/2012-CS PAR CES MOTIFS, La Chambre de surveillance : A la forme : Déclare recevable la plainte formée le 29 octobre 2012 par Me X______ contre le commandement de payer notifié le 18 octobre 2012 dans la poursuite n° 12 xxxx91 C. Au fond : L'admet. Constate en conséquence la nullité de la poursuite n° 12 xxxx91 C. Siégeant : Monsieur Grégory BOVEY, président; Monsieur Antoine HAMDAN et Monsieur Christian CHAVAZ,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