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DCSO/476/2017 vom 21. September 2017</w:t>
      </w:r>
    </w:p>
    <w:p>
      <w:r>
        <w:t>GE Cour de justice, 2017-09-21, FR</w:t>
      </w:r>
    </w:p>
    <w:p>
      <w:r>
        <w:rPr>
          <w:b/>
        </w:rPr>
        <w:t xml:space="preserve">Quelle: </w:t>
      </w:r>
      <w:r>
        <w:t>https://mcp.opencaselaw.ch/entscheid/ge_gerichte_DCSO_476_2017</w:t>
      </w:r>
    </w:p>
    <w:p>
      <w:r>
        <w:t>FR: GE_GERICHTE DCSO/476/2017 du 21 septembre 2017</w:t>
      </w:r>
    </w:p>
    <w:p>
      <w:r>
        <w:t>IT: GE_GERICHTE DCSO/476/2017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t>- 3/4 -</w:t>
      </w:r>
    </w:p>
    <w:p>
      <w:r>
        <w:t>A/1531/2017-CS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Des circonstances tenant à l'organisation des offices des poursuites, à leur dotation en personnel ou encore à l'adéquation de leur outil informatique ne justifient pas le non-respect des délais fixés par la loi (ERARD, in op. cit., n° 59 ad art. 17 LP; ATF 107 III 3 consid. 2).</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rPr>
          <w:b/>
        </w:rPr>
        <w:t>E. 2.3</w:t>
      </w:r>
    </w:p>
    <w:p>
      <w:r>
        <w:t>Un délai de plus de deux mois s'est en l'espèce écoulé entre la réception par l'Office de la réquisition de poursuite et l'établissement du commandement de payer, ce qui est excessif au regard des impératifs de célérité et de diligence résultant de l'art. 69 al. 1 LP. Surtout, aucune tentative de notification n'a ensuite eu lieu pendant plus de sept mois, ce qui contrevient gravement à l'art. 71 al. 1 LP. L'Office ne saurait invoquer à cet égard des difficultés informatiques : il lui appartient en effet de s'organiser de manière à être en mesure d'accomplir en temps utile les tâches qui lui incombent selon la loi. Cette organisation doit notamment lui permettre d'éviter que, pour une raison ou une autre, des dossiers de poursuite échappent au processus normal et ne soient plus traités.</w:t>
      </w:r>
    </w:p>
    <w:p>
      <w:r>
        <w:t>La plainte est ainsi bien fondée : l'existence d'un retard non justifié sera constatée et il sera enjoint à l'Office de procéder immédiatement et sans désemparer à la notification du commandement de payer.</w:t>
      </w:r>
    </w:p>
    <w:p>
      <w:r>
        <w:rPr>
          <w:b/>
        </w:rPr>
        <w:t>E. 3</w:t>
      </w:r>
    </w:p>
    <w:p>
      <w:r>
        <w:t>La procédure de plainte est gratuite (art. 20a al. 2 ch. 5 LP et art. 61 al. 2 let. a OELP) et il ne peut être alloué aucuns dépens dans cette procédure (art. 62 al. 2 OELP). * * * * *</w:t>
      </w:r>
    </w:p>
    <w:p>
      <w:r>
        <w:t>- 4/4 -</w:t>
      </w:r>
    </w:p>
    <w:p>
      <w:r>
        <w:t>A/1531/2017-CS PAR CES MOTIFS, La Chambre de surveillance : A la forme : Déclare recevable la plainte formée le 28 avril 2017 par l'ETAT DE VAUD pour retard injustifié de la part de l'Office des poursuites dans la poursuite n° 16 xxxx59 U. Au fond : L'admet. Constate que l'Office des poursuites a tardé sans justification à établir et notifier le commandement de payer dans la poursuite n° 16 xxxx59 U. Lui enjoint de procéder immédiatement et sans désemparer à cette notification.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