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DCSO/46/2021 vom 4. Februar 2021</w:t>
      </w:r>
    </w:p>
    <w:p>
      <w:r>
        <w:t>GE Cour de justice, 2021-02-04, FR</w:t>
      </w:r>
    </w:p>
    <w:p>
      <w:r>
        <w:rPr>
          <w:b/>
        </w:rPr>
        <w:t xml:space="preserve">Quelle: </w:t>
      </w:r>
      <w:r>
        <w:t>https://mcp.opencaselaw.ch/entscheid/ge_gerichte_DCSO_46_2021</w:t>
      </w:r>
    </w:p>
    <w:p>
      <w:r>
        <w:t>FR: GE_GERICHTE DCSO/46/2021 du 4 février 2021</w:t>
      </w:r>
    </w:p>
    <w:p>
      <w:r>
        <w:t>IT: GE_GERICHTE DCSO/46/2021 del 4 febbraio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w:t>
      </w:r>
    </w:p>
    <w:p>
      <w:r>
        <w:t>- 4/7 -</w:t>
      </w:r>
    </w:p>
    <w:p>
      <w:r>
        <w:t>A/3260/2020-CS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2.1.2 En vertu de l'art. 91 al. 1 ch. 2 LP, le débiteur est tenu, sous menace des peines prévues par la loi, d'indiquer jusqu'à due concurrence tous les biens qui lui appartiennent, même ceux qui ne sont pas en sa possession, ainsi que ses créances et autres droits contre des tiers.</w:t>
      </w:r>
    </w:p>
    <w:p>
      <w:r>
        <w:t>Lorsque l'instruction à laquelle procède l'office ne révèle aucun élément certain, il faut tenir compte des indices à disposition (ATF 81 III 147).</w:t>
      </w:r>
    </w:p>
    <w:p>
      <w:r>
        <w:t>2.2.1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Normes d'insaisissabilité [NI-2019], RS/GE E 3 60.04; Ochsner, Le minimum vital (art. 93 al. 1 LP), in SJ 2012 II p. 119 ss, 123; Collaud, Le minimum vital selon l'article 93 LP, in RFJ 2012 p. 299 ss, 303; arrêt du Tribunal fédéral 5A_919/2012 du 11 février 2013 consid. 4.3.1).</w:t>
      </w:r>
    </w:p>
    <w:p>
      <w:r>
        <w:t>2.2.2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w:t>
      </w:r>
    </w:p>
    <w:p>
      <w:r>
        <w:t>D'autres charges indispensables, comme les frais de logement (art. II.1 et II.3 NI- 2018), doivent être ajoutés à cette base mensuelle d'entretien, pour autant qu'elles soient effectivement payées (Ochsner, in CR-LP, n° 82 ad art. 93 LP).</w:t>
      </w:r>
    </w:p>
    <w:p>
      <w:r>
        <w:t>2.2.3 Selon l'art. 92 al. 1 ch. 9a LP, les rentes versées au titre de l'Assurance vieillesse et survivants sont insaisissables. L'art. 93 al. 1 LP prévoit en revanche que les rentes versées par des institutions de prévoyance professionnelle peuvent</w:t>
      </w:r>
    </w:p>
    <w:p>
      <w:r>
        <w:t>- 5/7 -</w:t>
      </w:r>
    </w:p>
    <w:p>
      <w:r>
        <w:t>A/3260/2020-CS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rPr>
          <w:b/>
        </w:rPr>
        <w:t>E. 2.3</w:t>
      </w:r>
    </w:p>
    <w:p>
      <w:r>
        <w:t>Le seul grief motivé et développé dans la plainte a trait à la non-prise en considération, dans le calcul du minimum vital du poursuivi dans la série litigieuse, d'un montant de 1'500 fr. par mois au titre de loyer.</w:t>
      </w:r>
    </w:p>
    <w:p>
      <w:r>
        <w:t>A cet égard, le plaignant a d'abord indiqué que compte tenu de sa situation familiale – il soutient loger dans l'appartement loué par son fils – il était compréhensible qu'il n'ait signé aucune quittance de loyer. Par la suite, le plaignant a fourni des quittances signées par B______ datées du 30 juillet, 31 août, 30 septembre et 31 octobre 2020.</w:t>
      </w:r>
    </w:p>
    <w:p>
      <w:r>
        <w:t>Or, ces quittances, établies par un proche pour les besoins de la cause, ne sont dans le contexte du cas d'espèce pas suffisantes pour admettre la réalité du paiement d'une charge de loyer effective.</w:t>
      </w:r>
    </w:p>
    <w:p>
      <w:r>
        <w:t>En effet, le plaignant ne fournit pas la preuve du paiement du loyer à son fils par le biais d'un virement d'argent. Dans l'hypothèse où il s'acquitterait du loyer par un paiement au comptant, de la main à la main, le plaignant pourrait par exemple justifier une sortie d'argent équivalente, de sorte que l'extrait d'un compte bancaire pourrait permettre de faire le lien entre le prélèvement d'espèces et le paiement de la charge (de loyer ou autre). Or, il ne résulte pas du relevé du compte bancaire du plaignant auprès de la banque D______ relatif au mois d'août 2020 (qui est le seul relevé fourni par l'intéressé), qu'il aurait prélevé un montant en espèces équivalent à 1'500 fr. Ce relevé ne mentionne du reste aucun prélèvement d'argent au cours du mois considéré.</w:t>
      </w:r>
    </w:p>
    <w:p>
      <w:r>
        <w:t>Par ailleurs, le plaignant ne se prévaut d'aucun autre moyen de règlement du loyer, étant encore observé que ses déclarations fiscales relatives aux années 2018 et 2019, lesquelles mentionnent l'adresse de la rue 6______, ne font état d'aucun loyer (en 2019 il est indiqué que le loyer était de 0).</w:t>
      </w:r>
    </w:p>
    <w:p>
      <w:r>
        <w:t>Eu égard à l'ensemble de ces éléments, et compte tenu aussi de l'opacité qu'entretient le plaignant sur sa situation financière, l'intéressé ayant omis de signaler l'existence de certains actifs, en particulier d'un bien immobilier en Valais, c'est à raison que l'Office a considéré que le paiement effectif de la charge de loyer alléguée n'était pas établi à satisfaction.</w:t>
      </w:r>
    </w:p>
    <w:p>
      <w:r>
        <w:t>Le plaignant n'a pour le surplus pas formulé d'autres critiques étayées à l'égard du calcul du minimum vital et de la quotité saisissable effectué par l'Office, quand bien même il a allégué dans sa plainte des charges à hauteur de 4'051 fr. 20, étant</w:t>
      </w:r>
    </w:p>
    <w:p>
      <w:r>
        <w:t>- 6/7 -</w:t>
      </w:r>
    </w:p>
    <w:p>
      <w:r>
        <w:t>A/3260/2020-CS observé que dans la mesure où il est à la retraite, sa couverture accident est comprise dans l'assurance obligatoire de soins. Aussi, la plainte, infondée, sera rejetée.</w:t>
      </w:r>
    </w:p>
    <w:p>
      <w:r>
        <w:rPr>
          <w:b/>
        </w:rPr>
        <w:t>E. 3</w:t>
      </w:r>
    </w:p>
    <w:p>
      <w:r>
        <w:t>La procédure de plainte est gratuite (art. 20a al. 2 ch. 5 LP et art. 61 al. 2 let. a OELP) et il ne peut être alloué aucuns dépens dans cette procédure (art. 62 al. 2 OELP). * * * * *</w:t>
      </w:r>
    </w:p>
    <w:p>
      <w:r>
        <w:t>- 7/7 -</w:t>
      </w:r>
    </w:p>
    <w:p>
      <w:r>
        <w:t>A/3260/2020-CS PAR CES MOTIFS, La Chambre de surveillance : A la forme : Déclare recevable la plainte formée le 15 octobre 2020 par A______ contre le procès- verbal de saisie, série n° 5______, établi le 28 septembre 2020. Au fond : La rejette. Siégeant : Madame Verena PEDRAZZINI RIZZI, présidente; Messieurs Luca MINOTTI et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