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DCSO/468/2018 vom 13. September 2018</w:t>
      </w:r>
    </w:p>
    <w:p>
      <w:r>
        <w:t>GE Cour de justice, 2018-09-13, FR</w:t>
      </w:r>
    </w:p>
    <w:p>
      <w:r>
        <w:rPr>
          <w:b/>
        </w:rPr>
        <w:t xml:space="preserve">Quelle: </w:t>
      </w:r>
      <w:r>
        <w:t>https://mcp.opencaselaw.ch/entscheid/ge_gerichte_DCSO_468_2018</w:t>
      </w:r>
    </w:p>
    <w:p>
      <w:r>
        <w:t>FR: GE_GERICHTE DCSO/468/2018 du 13 septembre 2018</w:t>
      </w:r>
    </w:p>
    <w:p>
      <w:r>
        <w:t>IT: GE_GERICHTE DCSO/468/2018 del 13 settembre 2018</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Mesure conservatoire urgente de droit des poursuites,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12 ad art. 275 LP).</w:t>
      </w:r>
    </w:p>
    <w:p>
      <w:r>
        <w:t>- 3/5 -</w:t>
      </w:r>
    </w:p>
    <w:p>
      <w:r>
        <w:t>A/2069/2018-CS</w:t>
      </w:r>
    </w:p>
    <w:p>
      <w:r>
        <w:t>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 Une telle nullité doit être retenue, notamment, en cas d'incompétence à raison du lieu du juge du séquestre ou de l'Office lui-même (ATF 142 III 348 consid. 3.1; 136 III 379 consid. 3.1; 129 III 203 consid. 2.3; OCHSNER, Exécution du séquestre, in JT 2006 II p. 77 ss., 82).</w:t>
      </w:r>
    </w:p>
    <w:p>
      <w:r>
        <w:t>Au contraire de celle du juge du séquestre, qui s'étend à toute la Suisse (art. 271 al. 1 LP), la compétence à raison du lieu de l'Office saisi d'une ordonnance de séquestre se limite aux valeurs localisées dans son arrondissement. Il ne peut donc exécuter une ordonnance de séquestre portant sur des biens relevant de la compétence territoriale d'un autre Office et, s'il le fait néanmoins, l'exécution du séquestre est nulle (ATF 112 III 115 consid. 2; STOFFEL/CHABLOZ, Voies d'exécution, § 8 n. 14; les mêmes, in CR LP, n 7 et 8 ad art. 275 LP; REISER, in BAK SchKG II, 2ème éd., 2010, N 24 ad art. 275 LP). En matière d'exécution de séquestre, une délégation par l'Office destinataire de l'ordonnance de séquestre à l'Office dans l'arrondissement duquel se trouvent les biens à séquestrer, au sens de l'art. 89 LP, n'est par ailleurs pas envisageable dès lors que l'art. 275 LP ne renvoie pas à cette disposition (STOFFEL/CHABLOZ, in CR LP, n. 9 ad art. 275 LP; REISER, op. cit., N 25 ad art. 275 LP). Les immeubles sont situés au lieu où ils sont immatriculés au registre foncier (FOEX, in CR LP, n. 7 ad art. 89 LP).</w:t>
      </w:r>
    </w:p>
    <w:p>
      <w:r>
        <w:rPr>
          <w:b/>
        </w:rPr>
        <w:t>E. 2.2</w:t>
      </w:r>
    </w:p>
    <w:p>
      <w:r>
        <w:t>En l'espèce, le plaignant reproche à l'Office d'avoir refusé d'exécuter le séquestre ordonné le 4 juin 2018 par le Tribunal. Ce grief n'est pas fondé. En effet, il est constant que l'ordonnance litigieuse désigne, comme objet à séquestrer, une part de copropriété sise à ______ [VD], soit hors de l'arrondissement de l'Office. Or, comme relevé ci-avant, l'Office – qui</w:t>
      </w:r>
    </w:p>
    <w:p>
      <w:r>
        <w:t>- 4/5 -</w:t>
      </w:r>
    </w:p>
    <w:p>
      <w:r>
        <w:t>A/2069/2018-CS n'est pas compétent pour examiner les conditions de fond du séquestre – est lié par contenu de l'ordonnance rendue par le Tribunal; il ne peut donc pas s'écarter du texte clair de celle-ci, pas plus qu'il ne peut le compléter ou le modifier. Il s'ensuit que c'est à juste titre que l'Office, incompétent à raison du lieu pour séquestrer une part de copropriété située dans le canton de Vaud, a refusé d'exécuter l'ordonnance de séquestre du 4 juin 2018.</w:t>
      </w:r>
    </w:p>
    <w:p>
      <w:r>
        <w:t>La décision contestée doit ainsi être confirmée et la plainte rejetée.</w:t>
      </w:r>
    </w:p>
    <w:p>
      <w:r>
        <w:rPr>
          <w:b/>
        </w:rPr>
        <w:t>E. 3</w:t>
      </w:r>
    </w:p>
    <w:p>
      <w:r>
        <w:t>La procédure de plainte est gratuite (art. 20a al. 2 ch. 5 LP et art. 61 al. 2 let. a OELP) et il n'est pas alloué de dépens (art. 62 al. 2 OELP). * * * * *</w:t>
      </w:r>
    </w:p>
    <w:p>
      <w:r>
        <w:t>- 5/5 -</w:t>
      </w:r>
    </w:p>
    <w:p>
      <w:r>
        <w:t>A/2069/2018-CS PAR CES MOTIFS, La Chambre de surveillance : A la forme : Déclare recevable la plainte formée le 15 juin 2018 par l'HOSPICE GENERAL contre le refus de l'Office des poursuites d'exécuter l'ordonnance de séquestre, cause n° C/5______, rendue le 4 juin 2018 par le Tribunal de première instance. Au fond : La rejette.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