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DCSO/467/2019 vom 10. Oktober 2019</w:t>
      </w:r>
    </w:p>
    <w:p>
      <w:r>
        <w:t>GE Cour de justice, 2019-10-10, FR</w:t>
      </w:r>
    </w:p>
    <w:p>
      <w:r>
        <w:rPr>
          <w:b/>
        </w:rPr>
        <w:t xml:space="preserve">Quelle: </w:t>
      </w:r>
      <w:r>
        <w:t>https://mcp.opencaselaw.ch/entscheid/ge_gerichte_DCSO_467_2019</w:t>
      </w:r>
    </w:p>
    <w:p>
      <w:r>
        <w:t>FR: GE_GERICHTE DCSO/467/2019 du 10 octobre 2019</w:t>
      </w:r>
    </w:p>
    <w:p>
      <w:r>
        <w:t>IT: GE_GERICHTE DCSO/467/2019 del 10 ottobre 2019</w:t>
      </w:r>
    </w:p>
    <w:p>
      <w:pPr>
        <w:pStyle w:val="Heading2"/>
      </w:pPr>
      <w:r>
        <w:t>Volltext</w:t>
      </w:r>
    </w:p>
    <w:p>
      <w:r>
        <w:t>REPUBLIQUE ET</w:t>
      </w:r>
    </w:p>
    <w:p>
      <w:r>
        <w:t>CANTON DE GENEVE POUVOIR JUDICIAIRE A/3916/2019-CS DCSO/467/19 DECISION DE LA COUR DE JUSTICE Chambre de surveillance des Offices des poursuites et faillites DU LUNDI 28 OCTOBRE 2019</w:t>
      </w:r>
    </w:p>
    <w:p>
      <w:r>
        <w:t>Plainte 17 LP (A/3916/2019-CS) formée en date du 21 octobre 2019 par A______, élisant domicile en l'étude de Me B______, avocat.</w:t>
      </w:r>
    </w:p>
    <w:p>
      <w:r>
        <w:t>* * * * *</w:t>
      </w:r>
    </w:p>
    <w:p>
      <w:r>
        <w:t>Décision communiquée par courrier A à l'Office concerné et par pli recommandé du greffier du 29 octobre 2019 à : - A______ c/o Me B______ C______ &amp; Associés ______ ______. - Office cantonal des poursuites.</w:t>
      </w:r>
    </w:p>
    <w:p>
      <w:r>
        <w:t>- 2/5 -</w:t>
      </w:r>
    </w:p>
    <w:p>
      <w:r>
        <w:t>A/3916/2019-CS Attendu, EN FAIT, qu'une procédure civile (C/1______/2018) a opposé D______ à A______, comparant par son conseil, Me B______, devant le Tribunal de première instance; Que cette procédure a pris fin au début de l'année 2019, le Tribunal ayant rendu une ordonnance le 22 janvier 2019 qui n'a fait l'objet d'aucun recours; Qu'à une date non spécifiée, D______ a formé une réquisition de poursuite à l'encontre de A______ portant sur la somme de 3'760 fr., intérêts en sus, réclamée sur la base de l'ordonnance susmentionnée; Que, faisant suite à cette réquisition, l'Office cantonal des poursuites (ci-après : l'Office) a édité le commandement de payer, poursuite n° 2______, dirigé contre "A______ […] Rue 3______ [no.] ______, [code postal] Genève"; que, selon l'exemplaire pour le débiteur du commandement de payer, l'acte devait être notifié en l'Etude de Me B______, "C______ &amp; Associés, Rue 4______ [no.] ______, [code postal] Genève"; Que ce commandement de payer a été notifié en mains de E______, réceptionniste au sein de l'Etude C______ &amp; Associés, en date du 10 octobre 2019; Que la poursuite n° 2______ a été frappée d'opposition totale le jour même; Que par acte adressé à la Chambre de surveillance le 21 octobre 2019, A______, comparant par Me B______, a formé plainte contre la notification de ce commandement de payer, concluant à son annulation; qu'il a requis l'octroi de l'effet suspensif à titre préalable; Que des observations n'ont pas été requises; Considérant, EN DROIT,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doit être formée dans un délai de dix jours à compter de celui où le plaignant a eu connaissance de la mesure visée (art. 17 al. 2 LP); Que l'art. 72 LPA (applicable par renvoi de l'art. 9 al. 4 LaLP) permet à la Chambre de surveillance d'écarter ou de rejeter, sans instruction préalable et par une décision sommairement motivée, une plainte manifestement irrecevable ou mal fondée; Qu'en l'espèce, le plaignant reproche à l'Office d'avoir notifié le commandement de payer à l'avocat qui le représentait dans le cadre du procès civil l'ayant opposé au créancier poursuivant; qu'il expose n'avoir jamais désigné l'avocat concerné en qualité de représentant habilité à recevoir des actes de poursuite pour son compte; que la notification du commandement de payer était donc viciée et devait être annulée; Considérant qu'un commandement de payer est un acte de poursuite qui doit faire l'objet d'une communication revêtant la forme qualifiée de la notification (art. 72 LP); que cette dernière consiste en la remise par un employé de l'Office ou de la poste de l'acte ouvert au débiteur ou, en l'absence de ce dernier, à l'une des personnes de remplacement</w:t>
      </w:r>
    </w:p>
    <w:p>
      <w:r>
        <w:t>- 3/5 -</w:t>
      </w:r>
    </w:p>
    <w:p>
      <w:r>
        <w:t>A/3916/2019-CS désignées par la loi et aux lieux prévus par la loi, au besoin au terme d'une recherche sérieuse du poursuivi ou, à défaut, d'une des personnes de remplacement (cf. RUEDIN, CR-LP, 2005, n. 2 ad art. 72 LP); Que la jurisprudence admet la notification qualifiée (art. 64 ss LP) d'un acte de poursuite déterminé à un représentant contractuel (par ex. un avocat) que le destinataire - personne physique ou morale - a désigné spécialement à l'office des poursuites dans ce but ou à qui il a délivré une procuration générale (ATF 43 III 18 consid. 3; arrêts du Tribunal fédéral 5A_750/2013 et 5A_752/2013 du 8 avril 2014 consid. 4.1 et les références); Que l'avocat mandaté pour la conduite d'un procès n'est toutefois pas présumé autorisé à recevoir les actes de poursuite en lien avec ce procès, à moins que le mandat ne comporte expressément cette faculté (arrêt du Tribunal fédéral 5A_45/2015 du 20 avril 2015 consid. 3.2 et les références citées); Que la sanction d'une notification viciée consiste, lorsque malgré le vice le destinataire de l'acte en a eu connaissance, en l'annulabilité sur plainte de la notification (ATF 128 III 101 consid. 2); qu'il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 Qu'en l'espèce, la question de savoir si l'avocat mandaté par le plaignant dans la cause C/1______/2018) était habilité ou non à recevoir le commandement de payer litigieux peut demeurer indécise; Qu'en effet, un éventuel vice entachant la notification ne justifie de toute façon pas l'annulation de celle-ci; Qu'à cet égard, force est d'admettre que, par le biais de son conseil, le plaignant a acquis une connaissance de l'acte telle qu'une nouvelle notification ne lui apporterait aucune information supplémentaire; qu'en outre le plaignant a été en mesure de préserver ses droits par l'opposition formée au moment de la remise du commandement de payer; Que, dans ces circonstances, le fait de procéder à une nouvelle notification de l'acte ne répondrait à aucun intérêt digne de protection et constituerait un formalisme excessif; Qu'au vu des considérations qui précèdent, la plainte s'avère manifestement mal fondée, de sorte qu'elle sera rejetée sans instruction préalable (art. 72 LPA); Qu'en conséquence, point n'est besoin de statuer sur la requête d'effet suspensif; Que la procédure de plainte est gratuite (art. 20a al. 2 ch. 5 LP et art. 61 al. 2 let. a OELP) et ne donne pas lieu à l'allocation de dépens (art. 62 al. 2 OELP).</w:t>
      </w:r>
    </w:p>
    <w:p>
      <w:r>
        <w:t>* * * * *</w:t>
      </w:r>
    </w:p>
    <w:p>
      <w:r>
        <w:t>- 4/5 -</w:t>
      </w:r>
    </w:p>
    <w:p>
      <w:r>
        <w:t>A/3916/2019-CS</w:t>
      </w:r>
    </w:p>
    <w:p>
      <w:r>
        <w:t>- 5/5 -</w:t>
      </w:r>
    </w:p>
    <w:p>
      <w:r>
        <w:t>A/3916/2019-CS</w:t>
      </w:r>
    </w:p>
    <w:p>
      <w:r>
        <w:t>PAR CES MOTIFS, La Chambre de surveillance : Rejette la plainte formée le 21 octobre 2019 par A______ contre la notification, le 10 octobre 2019, du commandement de payer, poursuite n° 2______. Siégeant : Madame Nathalie RAPP, présidente; Messieurs Frédéric HENSLER et Eric DE PREUX, juges assesseurs;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