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DCSO/466/2024 vom 3. Oktober 2024</w:t>
      </w:r>
    </w:p>
    <w:p>
      <w:r>
        <w:t>GE Cour de justice, 2024-10-03, FR</w:t>
      </w:r>
    </w:p>
    <w:p>
      <w:r>
        <w:rPr>
          <w:b/>
        </w:rPr>
        <w:t xml:space="preserve">Quelle: </w:t>
      </w:r>
      <w:r>
        <w:t>https://mcp.opencaselaw.ch/entscheid/ge_gerichte_DCSO_466_2024</w:t>
      </w:r>
    </w:p>
    <w:p>
      <w:r>
        <w:t>FR: GE_GERICHTE DCSO/466/2024 du 3 octobre 2024</w:t>
      </w:r>
    </w:p>
    <w:p>
      <w:r>
        <w:t>IT: GE_GERICHTE DCSO/466/2024 del 3 ottobre 2024</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le cas, selon la jurisprudence, des poursuites introduites en violation du principe de l'interdiction de l'abus de droit, tel qu'il résulte de l'art. 2 al. 2 CC (ATF 140 III 481 consid. 2.3.1).</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La motivation peut être sommaire</w:t>
      </w:r>
    </w:p>
    <w:p>
      <w:r>
        <w:t>- 4/7 -</w:t>
      </w:r>
    </w:p>
    <w:p>
      <w:r>
        <w:t>A/1411/2024-CS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w:t>
      </w:r>
    </w:p>
    <w:p>
      <w:r>
        <w:rPr>
          <w:b/>
        </w:rPr>
        <w:t>E. 1.3</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1.4</w:t>
      </w:r>
    </w:p>
    <w:p>
      <w:r>
        <w:t>En l'occurrence, la plainte n'est pas motivée et peu compréhensible s'agissant des conclusions en octroi d'un délai pour former opposition, en prononcé de toute mesure visant à mettre fin à une inscription illicite et en injonction à la créancière de donner contrordre à la poursuite. Ces conclusions sont irrecevables pour ce seul motif. Hormis le grief de la poursuite abusive, qui entraîne la nullité de la poursuite et peut être invoqué en tout temps, les griefs du plaignant interviennent plus de 10 jours après qu'il a eu connaissance de la poursuite, de sorte que la plainte est tardive et irrecevable pour tous les autres griefs que celui fondé sur l'abus de droit. Pour le surplus, l'intérêt à la plainte est douteux. Le plaignant semble vouloir obtenir la radiation de la poursuite ou à tout le moins la non-communication de la poursuite à des tiers au sens de l'art. 8a LP. Or, l'Office ayant constaté le non-lieu de notification du commandement de payer faute de domicile à Genève du débiteur, a en réalité constaté l'absence de for de poursuite à Genève et l'absence de notification du commandement de payer au débiteur, soit des motifs de nullité ou d'annulation de la poursuite (ATF 128 III 101 consid. 2; 110 III 11 consid. 2; 96 III 89 consid. 2; 88 III 7 consid. 3; 83 II 41 consid. 5; 82 III 63 consid. 4; arrêts 5A_333/2017 du 4 août 2017 consid. 3.2; 5A_489/2013 du 15 janvier 2014 consid. 1; 5A_6/2008 du 5 février 2008 consid. 3.2; DCSO/416/2017 du 17 août 2017 consid. 2; DCSO/64/2016 du 11 février 2016 consid. 2; GILLIERON, Commentaire de la loi fédérale sur la poursuite pour dettes et la faillite, n° 20 ad art. 72), lesquels impliquent qu'elle ne doit vraisemblablement pas être communiquée à des tiers (art. 8a al. 3 let. a LP). La plainte ne revêt ainsi aucun intérêt pour le plaignant, celui-ci ayant déjà obtenu par la décision de non-lieu de notification le résultat recherché par la plainte. Elle est par conséquent probablement irrecevable pour ce motif également. Le grief fondé sur le caractère abusif de la poursuite sera examiné à toute bonne fin ci-après.</w:t>
      </w:r>
    </w:p>
    <w:p>
      <w:r>
        <w:rPr>
          <w:b/>
        </w:rPr>
        <w:t>E. 2.1</w:t>
      </w:r>
    </w:p>
    <w:p>
      <w:r>
        <w:t>La nullité d'une poursuite pour abus de droit ne peut être admise par les autorités de surveillance que dans des cas exceptionnels, notamment lorsqu'il est</w:t>
      </w:r>
    </w:p>
    <w:p>
      <w:r>
        <w:t>- 5/7 -</w:t>
      </w:r>
    </w:p>
    <w:p>
      <w:r>
        <w:t>A/1411/2024-CS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lorsque par esprit de chicane il requiert une poursuite pour un montant manifestement trop élevé, lorsqu'il reconnaît, devant l'Office des poursuites ou le poursuivi lui-même, qu'il n'agit pas envers le véritable débiteur, ou encore lorsqu'il requiert la poursuite en contradiction avec des attentes suscitées chez l'autre partie, par exemple en introduisant un nouvelle poursuite alors que des pourparlers sont sur le point d'aboutir en vue du retrait d'une poursuite précédente portant sur la même créance (venire contra factum proprium). L'existence d'un abus ne peut donc être reconnue que sur la base d'éléments ou d'un ensemble d'indices démontrant de façon patente que l'institution du droit de l'exécution forcée est détournée de sa finalité (ATF 140 III 481 consid. 2.3.1, JdT 2015 II 298; 130 II 270 consid. 3.2.2; 115 III 18 consid. 3b, JdT 1991 II 76; arrêts du Tribunal fédéral 5A_1020/2018 du 11 février 2019, 5A_317/2015 du 13 octobre 2015 consid. 2.1, 5A_218/2015 du 30 novembre 2015 consid. 3; décision de la Chambre de surveillance DCSO/321/10 du 8 juillet 2010 consid. 3.b). En revanche, celui qui poursuit son débiteur dans le seul but d'interrompre la prescription ne commet en principe pas d'abus de droit, la notification d'un commandement de payer représentant un moyen légal pour ce faire (art. 135 ch. 2 CO; arrêt du Tribunal fédéral 5A_250/2015 précité consid. 4.2 in fine; PETER, Interrompre la prescription par une poursuite, in BlSchK 2018 p. 175 ss, 179 in fine). La procédure de plainte des art. 17 ss LP ne permet pas d'obtenir l'annulation de la poursuite en se prévalant de l'art. 2 al. 2 CC, dans la mesure où le grief pris de l'abus de droit est invoqué à l'encontre de la créance litigieuse. L'autorité de surveillance – tout comme l'office – n'est en effet pas compétente pour statuer sur le bienfondé matériel des prétentions du créancier déduites en poursuite qui relèvent de la compétence du juge ordinaire. Le débiteur doit utiliser les moyens que lui offre la procédure de poursuite, soit notamment l'opposition au commandement de payer, l'action en libération de dette, l'annulation de la poursuite, l'action en constatation de l'inexistence de la dette ou l'action en répétition de l'indu. L'Office ne peut ainsi exiger des explications sur la nature de la prétention ni refuser d'émettre un commandement de payer, même si la cause de la créance semble peu plausible voire imaginaire. Il est donc pratiquement exclu que le créancier obtienne de manière abusive l'émission d'un commandement de payer (ATF 136 III 365 consid. 2.1, avec la jurisprudence citée; 115 III 18 consid. 3b, JdT 1991 II 76; 113 III 2 consid. 2b, JdT 1989 II 120; arrêts du Tribunal fédéral 5A_250-252/2015 du 10 septembre 2015 consid. 4.1,</w:t>
      </w:r>
    </w:p>
    <w:p>
      <w:r>
        <w:t>- 6/7 -</w:t>
      </w:r>
    </w:p>
    <w:p>
      <w:r>
        <w:t>A/1411/2024-CS 5A_76/2013 du 15 mars 2013 consid. 3.1, 5A_890/2012 du 5 mars 2013 consid. 5.3, 5A_595/2012 du 24 octobre 2012 consid. 5).</w:t>
      </w:r>
    </w:p>
    <w:p>
      <w:r>
        <w:rPr>
          <w:b/>
        </w:rPr>
        <w:t>E. 2.2</w:t>
      </w:r>
    </w:p>
    <w:p>
      <w:r>
        <w:t>En l'occurrence, la poursuite vise le recouvrement de loyers dont le plaignant ne prétend même pas qu'ils ne seraient pas dus. La poursuite ayant fait l'objet d'un non-lieu de notification, la créancière a déposé une demande en paiement contre le débiteur portant sur les mêmes montants. Il découle de ces circonstances que par la poursuite entreprise, la créancière a tenté sérieusement de recouvrer des montants qu'elle estimait lui être dus et n'a pas agi dans le seul but de nuire au plaignant, de faire pression sur lui ou de le tourmenter. La créancière n'a par conséquent pas requis abusivement la poursuite.</w:t>
      </w:r>
    </w:p>
    <w:p>
      <w:r>
        <w:rPr>
          <w:b/>
        </w:rPr>
        <w:t>E. 2.3</w:t>
      </w:r>
    </w:p>
    <w:p>
      <w:r>
        <w:t>La plainte devrait par conséquent en tout état être rejetée si elle avait été recevable.</w:t>
      </w:r>
    </w:p>
    <w:p>
      <w:r>
        <w:rPr>
          <w:b/>
        </w:rPr>
        <w:t>E. 3</w:t>
      </w:r>
    </w:p>
    <w:p>
      <w:r>
        <w:t>La procédure devant l'autorité de surveillance est gratuite (art. 20a al. 2 ch. 5 LP; art. 61 al. 2 let. a OELP) et ne donne pas lieu à l'allocation de dépens (art. 62 al. 2 OELP). * * * * *</w:t>
      </w:r>
    </w:p>
    <w:p>
      <w:r>
        <w:t>- 7/7 -</w:t>
      </w:r>
    </w:p>
    <w:p>
      <w:r>
        <w:t>A/1411/2024-CS PAR CES MOTIFS, La Chambre de surveillance : Déclare irrecevable la plainte formée le 25 avril 2024 par A______ contre la poursuite n° 2______. Siégeant : Monsieur Jean REYMOND, président; Messieurs Luca MINOTTI et Anthony HUGUENIN, juges assesseurs; Madame Véronique AMAUDRY-PISCETTA, greffière.</w:t>
      </w:r>
    </w:p>
    <w:p>
      <w:r>
        <w:t>Le président :</w:t>
      </w:r>
    </w:p>
    <w:p>
      <w:r>
        <w:t>La greffière : 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