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DCSO/466/2020 vom 3. Dezember 2020</w:t>
      </w:r>
    </w:p>
    <w:p>
      <w:r>
        <w:t>GE Cour de justice, 2020-12-03, FR</w:t>
      </w:r>
    </w:p>
    <w:p>
      <w:r>
        <w:rPr>
          <w:b/>
        </w:rPr>
        <w:t xml:space="preserve">Quelle: </w:t>
      </w:r>
      <w:r>
        <w:t>https://mcp.opencaselaw.ch/entscheid/ge_gerichte_DCSO_466_2020</w:t>
      </w:r>
    </w:p>
    <w:p>
      <w:r>
        <w:t>FR: GE_GERICHTE DCSO/466/2020 du 3 décembre 2020</w:t>
      </w:r>
    </w:p>
    <w:p>
      <w:r>
        <w:t>IT: GE_GERICHTE DCSO/466/2020 del 3 dicembre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créancier fait grief à l'Office de ne pas avoir suffisamment investigué la situation financière du débiteur, sous l'angle de la détermination de ses revenus, évoquant notamment l'insuffisance de recherches concernant sa relation avec la société C______ SA, sa situation fiscale et ses relations bancaires.</w:t>
      </w:r>
    </w:p>
    <w:p>
      <w:r>
        <w:rPr>
          <w:b/>
        </w:rPr>
        <w:t>E. 2.1</w:t>
      </w:r>
    </w:p>
    <w:p>
      <w:r>
        <w:t>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du débiteur, l'Office doit les vérifier. Les investigations doivent être particulièrement poussées lorsque le débiteur est indépendant;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(arrêt du Tribunal fédéral 5A_976/2018 du 27 mars 2019; arrêt du Tribunal fédéral 7B.212/2002 du 27 novembre 2002; ATF 126 III 89; ATF 121 III 20, JdT 1997 II 163; ATF 120 III 16, JdT 1996 II 179; ATF 83 III 63; OCHSNER, Commentaire Romand, Poursuite et faillite, 2005, n. 25ss et 82 ss ad art. 93 LP et les références citées).</w:t>
      </w:r>
    </w:p>
    <w:p>
      <w:r>
        <w:t>Lorsque l'instruction complète de l'Office conduit à des résultats totalement insuffisants pour déterminer le revenu du débiteur, notamment parce que les déclarations du débiteur et de son employeur sont en complète contradiction, ou qu'elles sont incompatibles avec des pièces ou le train de vie affiché par le</w:t>
      </w:r>
    </w:p>
    <w:p>
      <w:r>
        <w:t>- 6/8 -</w:t>
      </w:r>
    </w:p>
    <w:p>
      <w:r>
        <w:t>A/1264/2020-CS débiteur, il faut abandonner la saisie de gain pour s'orienter vers la saisie d'une créance litigieuse fondée sur des indications sérieuses fournies par le créancier. Faute de telles indications, aucune saisie, que ce soit de gain ou de créance litigieuse, ne sera possible (ATF 115 III 103 = JdT 1991 II 108; OCHSNER, op. cit. n° 39 et 40 ad art. 93).</w:t>
      </w:r>
    </w:p>
    <w:p>
      <w:r>
        <w:rPr>
          <w:b/>
        </w:rPr>
        <w:t>E. 2.2</w:t>
      </w:r>
    </w:p>
    <w:p>
      <w:r>
        <w:t>En l'espèce, l'Office a procédé à des investigations qui lui ont permis de déterminer des avoirs bancaires, certes insaisissables en fin de compte, et un lien avec trois sociétés commerciales ayant leur siège à Genève. Pour le surplus, ce sont essentiellement sur les déclarations du débiteur et de la fiduciaire D______ qu'il s'est fondé pour établir l'acte de défaut de biens litigieux. Or, ces déclarations, confrontées aux pièces en mains de l'Office, permettent d'avoir des doutes sérieux sur leur caractère complet et sincère.</w:t>
      </w:r>
    </w:p>
    <w:p>
      <w:r>
        <w:t>L'Office ne peut ainsi retenir sans autre forme d'enquête que le débiteur n'est pas détenteur – ou à tout le moins ayant-droit économique – de tout ou partie du capital-actions de C______ SA; au vu de l'imbrication des activités du débiteur et de celles de la société sur la base des éléments réunis par l'Office, soutenir qu'il n'y aurait aucun lien entre les deux n'est pas crédible. Ce d'autant plus que le débiteur aurait déclaré à l'Office lors de son audition avoir travaillé "peut-être en 2018" pour "N______", ce par quoi il faut certainement comprendre C______. Toujours dans le cadre de cette société, les comptes 2017 produits interpellent en ce sens qu'un chiffre d'affaires est réalisé, sans aucun employé, mais par un "tiers", rémunéré par la société, lequel aurait également bénéficié de frais de représentation et de déplacement pour des montants non négligeables; il n'est pas exclu que ce tiers soit le débiteur. Des investigations plus poussées sont ainsi de mise s'agissant de C______ SA, notamment par le biais d'une audition de la fiduciaire, la production de la comptabilité et des extraits de comptes bancaires de la société.</w:t>
      </w:r>
    </w:p>
    <w:p>
      <w:r>
        <w:t>Par ailleurs, si l'Office a bien obtenu du fisc des bordereaux de taxation, ceux-ci ne sont guère pertinents, surtout s'ils ne retiennent que la taxe personnelle. Ce sont bien plutôt les déclarations fiscales qui permettraient de comprendre les liens entre le débiteur et les trois sociétés susmentionnées ainsi que de déterminer ses avoirs bancaires – si tous ces éléments sont bien déclarés.</w:t>
      </w:r>
    </w:p>
    <w:p>
      <w:r>
        <w:t>Quand bien même il n'est pas certain que des investigations complémentaires conduiront à constater que les déclarations partielles du débiteur dissimulent des revenus saisissables, l'Office ne peut laisser des indices évidents sans suite, alors que le créancier manifeste, dans le cadre de sa plainte, des doutes fondés sur le fait que le débiteur a déclaré tous ses revenus et biens saisissables.</w:t>
      </w:r>
    </w:p>
    <w:p>
      <w:r>
        <w:t>Le procès-verbal de saisie infructueuse valant acte de défaut de biens du 20 avril 2020 sera par conséquent annulé et l'Office invité à compléter ses investigations</w:t>
      </w:r>
    </w:p>
    <w:p>
      <w:r>
        <w:t>- 7/8 -</w:t>
      </w:r>
    </w:p>
    <w:p>
      <w:r>
        <w:t>A/1264/2020-CS puis rendre une nouvelle décision de saisie dans le sens des conclusions subsidiaires du plaignant si elles devaient se révéler fondées. Compte tenu des diverses mesures d'instruction que cela implique, l'autorité de surveillance estime ne pas devoir procéder aux investigations complémentaires ni décider en lieu et place de l'Office (art. 21 LP).</w:t>
      </w:r>
    </w:p>
    <w:p>
      <w:r>
        <w:t>Finalement, l'Office a rapidement abandonné – pour des motifs non exposés – la piste des deux autres sociétés dont le débiteur est également administrateur, actives dans l'immobilier, dont une (P______ SA) porte un nom très proche à celui de l'entreprise exploitée en France par son frère (S______), pour laquelle il travaille actuellement depuis décembre 2018, contrairement à ce qu'il a déclaré à l'Office. Ce derniers point n'ayant toutefois pas fait l'objet de la plainte, il n'y a pas lieu d'y revenir (art. 20a al. 2 ch. 3 LP; ATF 86 III 53).</w:t>
      </w:r>
    </w:p>
    <w:p>
      <w:r>
        <w:rPr>
          <w:b/>
        </w:rPr>
        <w:t>E. 4</w:t>
      </w:r>
    </w:p>
    <w:p>
      <w:r>
        <w:t>La procédure de plainte est gratuite (art. 20a al. 2 ch. 5 LP; art. 61 al. 2 let. a OELP) et ne donne pas lieu à l'allocation de dépens (art. 62 al. 2 OELP). * * * * *</w:t>
      </w:r>
    </w:p>
    <w:p>
      <w:r>
        <w:t>- 8/8 -</w:t>
      </w:r>
    </w:p>
    <w:p>
      <w:r>
        <w:t>A/1264/2020-CS PAR CES MOTIFS, La Chambre de surveillance : A la forme : Reçoit la plainte du 1er mai 2020 de A______ contre l'acte de défaut de biens n° 2______ du 20 avril 2020. Au fond : L'annule. Invite l'Office cantonal des poursuites à compléter ses investigations dans le sens des considérants et à rendre une nouvelle décision de saisie. Siégeant : Monsieur Jean REYMOND, président; Madame Ekaterine BLINOVA et Monsieur Anthony HUGUENIN, juges assesseur(e)s; Madame Véronique AMAUDRY- 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