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DCSO/466/2018 vom 13. September 2018</w:t>
      </w:r>
    </w:p>
    <w:p>
      <w:r>
        <w:t>GE Cour de justice, 2018-09-13, FR</w:t>
      </w:r>
    </w:p>
    <w:p>
      <w:r>
        <w:rPr>
          <w:b/>
        </w:rPr>
        <w:t xml:space="preserve">Quelle: </w:t>
      </w:r>
      <w:r>
        <w:t>https://mcp.opencaselaw.ch/entscheid/ge_gerichte_DCSO_466_2018</w:t>
      </w:r>
    </w:p>
    <w:p>
      <w:r>
        <w:t>FR: GE_GERICHTE DCSO/466/2018 du 13 septembre 2018</w:t>
      </w:r>
    </w:p>
    <w:p>
      <w:r>
        <w:t>IT: GE_GERICHTE DCSO/466/2018 del 13 settembre 2018</w:t>
      </w:r>
    </w:p>
    <w:p>
      <w:pPr>
        <w:pStyle w:val="Heading2"/>
      </w:pPr>
      <w:r>
        <w:t>Erwägungen</w:t>
      </w:r>
    </w:p>
    <w:p>
      <w:r>
        <w:rPr>
          <w:b/>
        </w:rPr>
        <w:t>E. 1.1</w:t>
      </w:r>
    </w:p>
    <w:p>
      <w:r>
        <w:t>La Chambre de surveillance est compétente pour statuer sur les plaintes formées en application de la LP (art. 13 al. 1 LP; 6 al. 1 et 3 et 7 al. 1 LaLP; 125 et 126 al. 1 let. a et al. 2 let. c LOJ) contre des mesures de l'Office non attaquables par la voie judiciaire (art. 17 al. 1 LP), telle l'exécution de la saisie. La plainte doit être déposée, sous forme écrite et motivée, dans les dix jours de celui où le plaignant a eu connaissance de la mesure (art. 17 al. 2 LP). Elle peut toutefois être déposée en tout temps lorsque la mesure attaquée porte atteinte au minimum vital du débiteur et qu'elle le place dans une situation intolérable (art. 22 LP; ATF 114 III 78 consid. 3, JdT 1990 II 162).</w:t>
      </w:r>
    </w:p>
    <w:p>
      <w:r>
        <w:rPr>
          <w:b/>
        </w:rPr>
        <w:t>E. 1.2</w:t>
      </w:r>
    </w:p>
    <w:p>
      <w:r>
        <w:t>En l'espèce, la plainte a été déposée par le débiteur poursuivi contre une mesure de l'Office pouvant être contestée par cette voie. Elle respecte les exigences minimales de forme et pouvait être déposée en tout temps, dès lors que le plaignant fait grief à l'Office de porter atteinte à son minimum vital. La plainte est donc recevable.</w:t>
      </w:r>
    </w:p>
    <w:p>
      <w:r>
        <w:rPr>
          <w:b/>
        </w:rPr>
        <w:t>E. 2</w:t>
      </w:r>
    </w:p>
    <w:p>
      <w:r>
        <w:t>L'art. 93 al. 1 LP prévoit que tous les revenus du travail peuvent être saisis, déduction faite de ce que le préposé estime indispensable au débiteur et à sa famille (minimum vital). Pour fixer le montant saisissable – en fonction des circonstances de fait existant lors de l'exécution de la saisie (ATF 115 III 103 consid. 1c) – l'Office doit d'abord tenir compte de toutes les ressources du débiteur; puis, après avoir déterminé le revenu global brut, il évalue le revenu net en opérant les déductions correspondant aux charges sociales et aux frais d'acquisition du revenu; enfin, il déduit du revenu net les dépenses nécessaires à l'entretien du débiteur et de sa famille, en s'appuyant, à Genève, sur les Normes d'insaisissabilité édictées par l'autorité de surveillance (ci-après : NI-2018; RS/GE E 3 60.04; OCHSNER, Le minimum vital (art. 93 al. 1 LP), in SJ 2012 II p. 119 ss, 123; COLLAUD, Le minimum vital selon l'article 93 LP, in RFJ 2012 p. 299 ss, 303; arrêt du Tribunal fédéral 5A_919/2012 du 11 février 2013 consid. 4.3.1). Les dépenses nécessaires à l'entretien du débiteur se composent en premier lieu d'une base mensuelle d'entretien, fixée selon la situation familiale du débiteur, qui doit lui permettre de couvrir ses dépenses élémentaires, parmi lesquelles la nourriture et les frais de vêtement (OCHSNER, op. cit., p. 128). D'autres charges indispensables, comme les frais de logement (art. II.1 et II.3 NI-2018) ou les primes d'assurance-maladie obligatoire (art. II.3 NI-2018), doivent être ajoutées à cette base mensuelle d'entretien, cela pour autant qu'elles soient effectivement payées (OCHSNER, in CR-LP, n. 82 ad art. 93 LP). Font également partie du minimum vital la part non couverte des frais médicaux et la franchise, si des frais effectifs réguliers sont établis. L'art. II.9 NI-2018</w:t>
      </w:r>
    </w:p>
    <w:p>
      <w:r>
        <w:t>- 4/5 -</w:t>
      </w:r>
    </w:p>
    <w:p>
      <w:r>
        <w:t>A/2424/2018-CS prévoit que si, au moment de la saisie, le débiteur doit faire face de manière imminente à des dépenses supplémentaires tel que des frais médicaux, il convient de tenir compte de ces dépenses, pour autant qu'elles soient raisonnables, en augmentant temporairement le minimum vital du montant correspondant. Les frais médicaux visés sont ceux au sens large (médicaments, dentiste, franchise, etc.) – actuels ou futurs mais non antérieurs à la saisie (ATF 85 III 67) – pour autant qu'ils ne soient pas payés par une assurance (ATF 129 III 242).</w:t>
      </w:r>
    </w:p>
    <w:p>
      <w:r>
        <w:rPr>
          <w:b/>
        </w:rPr>
        <w:t>E. 3</w:t>
      </w:r>
    </w:p>
    <w:p>
      <w:r>
        <w:t>En l'espèce, le plaignant ne critique pas le calcul de son minimum vital effectué par l'Office, à l'exception de la prise en charge de ses frais dentaires et médicaux. Il considère que ces frais auraient dû être comptabilisés dans ses charges. Ce moyen n'est pas fondé. En effet, il ressort des pièces produites que les frais auxquels le plaignant fait référence concernent des traitements qui lui ont été prodigués avant l'exécution de la saisie. Or, conformément aux principes rappelés ci-dessus, il est uniquement tenu compte que de frais dentaires/médicaux actuels ou futurs, à l'exclusion de frais antérieurs à la saisie. C'est donc à juste titre que l'Office ne les a pas comptabilisés dans le minimum vital du plaignant. La plainte sera par conséquent rejetée. A noter que si le plaignant doit faire face à de nouveaux frais médicaux et/ou dentaires pendant la saisie, il lui appartiendra d'en informer l'Office, pièces justificatives à l'appui, pour que l'ampleur de la saisie soit adaptée s'il y a lieu (art. 93 al. 3 LP).</w:t>
      </w:r>
    </w:p>
    <w:p>
      <w:r>
        <w:rPr>
          <w:b/>
        </w:rPr>
        <w:t>E. 4</w:t>
      </w:r>
    </w:p>
    <w:p>
      <w:r>
        <w:t>La procédure de plainte est gratuite (art. 20a al. 2 ch. 5 LP et art. 61 al. 2 let. a OELP) et il ne peut être alloué aucun dépens (art. 62 al. 2 OELP). * * * * *</w:t>
      </w:r>
    </w:p>
    <w:p>
      <w:r>
        <w:t>- 5/5 -</w:t>
      </w:r>
    </w:p>
    <w:p>
      <w:r>
        <w:t>A/2424/2018-CS PAR CES MOTIFS, La Chambre de surveillance : A la forme : Déclare recevable la plainte formée le 13 juillet 2018 par A______ contre l'avis de saisie du 7 juin 2018 dans la série n° 2______. Au fond : La rejette. Siégeant : Madame Nathalie RAPP, présidente; Madame Natalie OPPATJA et Monsieur Christian CHAVAZ, juges assesseur(e)s; Madame Véronique PISCETTA, greffière.</w:t>
      </w:r>
    </w:p>
    <w:p>
      <w:r>
        <w:t>La présidente :</w:t>
      </w:r>
    </w:p>
    <w:p>
      <w:r>
        <w:t>Nathalie RAPP</w:t>
      </w:r>
    </w:p>
    <w:p>
      <w:r>
        <w:t>La greffière :</w:t>
      </w:r>
    </w:p>
    <w:p>
      <w:r>
        <w:t>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