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DCSO/463/2021 vom 2. Dezember 2021</w:t>
      </w:r>
    </w:p>
    <w:p>
      <w:r>
        <w:t>GE Cour de justice, 2021-12-02, FR</w:t>
      </w:r>
    </w:p>
    <w:p>
      <w:r>
        <w:rPr>
          <w:b/>
        </w:rPr>
        <w:t xml:space="preserve">Quelle: </w:t>
      </w:r>
      <w:r>
        <w:t>https://mcp.opencaselaw.ch/entscheid/ge_gerichte_DCSO_463_2021</w:t>
      </w:r>
    </w:p>
    <w:p>
      <w:r>
        <w:t>FR: GE_GERICHTE DCSO/463/2021 du 2 décembre 2021</w:t>
      </w:r>
    </w:p>
    <w:p>
      <w:r>
        <w:t>IT: GE_GERICHTE DCSO/463/2021 del 2 dicembre 2021</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La plainte est toutefois recevable en tout temps lorsque la mesure attaquée porte atteinte au minimum vital du débiteur et de sa famille et les place dans une situation intolérable (art. 22 LP; VONDER MÜHLL, in BaK SchKG-I, 2010, n° 66 ad art. 93 LP).</w:t>
      </w:r>
    </w:p>
    <w:p>
      <w:r>
        <w:rPr>
          <w:b/>
        </w:rPr>
        <w:t>E. 1.3</w:t>
      </w:r>
    </w:p>
    <w:p>
      <w:r>
        <w:t>En l'espèce, le pli contenant le procès-verbal de saisie du 4 mars 2021 n'a, selon les indications fournies par La Poste, pas été distribué et a été retourné à l'Office non réclamé le 16 mars 2021, à l'expiration du délai de garde de sept jours. Or le plaignant, qui se savait l'objet de poursuites, ayant retourné le protocole d'audition rempli et signé, devait s'attendre à recevoir de l'Office une communication. La présomption de réception instituée par l'art. 138 al. 3 let. a CPC lui est donc opposable, avec pour conséquence qu'il doit être réputé avoir reçu la décision contestée le 15 mars 2021, dernier jour du délai de garde de sept jours prévu par cette disposition. Expédiée le 7 juin 2021, la plainte apparaît donc tardive.</w:t>
      </w:r>
    </w:p>
    <w:p>
      <w:r>
        <w:t>Il résulte toutefois de la motivation de la plainte que le débiteur considère que la retenue fixée par l'Office lèse son minimum vital, de sorte que la Chambre de céans peut entrer en matière sur la plainte dans la mesure où ledit procès-verbal serait entaché de nullité, ce qu'il convient donc d'examiner, la plainte respectant pour le surplus les exigences minimales de forme prescrites par la loi (art. 9 al. 1 LaLP et art. 65 al. 1 et 2 LPA cum art. 9 al. 4 LaLP). 2. 2.1.1 L'autorité de surveillance constate les faits d'office (art. 20a al. 2 ch. 2 LP). Les parties intéressées à une procédure d'exécution forcée n'en sont pas moins tenues de collaborer à l'établissement des faits (cf. ATF 123 III 328); il en est ainsi, notamment, lorsque la partie saisit dans son propre intérêt les autorités de surveillance ou qu'il s'agit de circonstances qu'elle est la mieux à même de connaître ou qui touchent à sa situation personnelle, surtout lorsqu'elle sort de l'ordinaire (arrêt du Tribunal fédéral 7B.100/2004 du 4 août 2004, consid. 3.1). Il incombe notamment aux parties de renseigner l'autorité sur les faits essentiels et de produire les moyens de preuve dont elles disposent (ATF 123 III 328 consid. 3; 112 III 79 consid. 2).</w:t>
      </w:r>
    </w:p>
    <w:p>
      <w:r>
        <w:t>- 6/8 -</w:t>
      </w:r>
    </w:p>
    <w:p>
      <w:r>
        <w:t>A/1981/2021-CS</w:t>
      </w:r>
    </w:p>
    <w:p>
      <w:r>
        <w:t>2.1.2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sur les directives de la Conférence des préposés aux poursuites et faillites de Suisse (BlSchK 2009, p. 196 ss), respectivement, à Genève, sur les Normes d'insaisissabilité édictées par l'autorité de surveillance (ci-après : NI-2021, RS/GE E 3 60.04;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p. 128). D'autres charges indispensables, comme les frais de logement proportionnés à la situation économique et personnelle du débiteur (art. II.1 et II.2 NI-2021), les primes d'assurance-maladie obligatoire (art. II.3 NI-2021) et les frais de déplacement du domicile au lieu de travail (art. II.4 let. d NI-2021), doivent être ajoutés à cette base mensuelle d'entretien, pour autant qu'elles soient effectivement payées (OCHSNER, in CR LP, 2005, n. 82 ad art. 93 LP).</w:t>
      </w:r>
    </w:p>
    <w:p>
      <w:r>
        <w:t>2.2 En l'espèce, le plaignant ne conteste pas les montants admis par l'Office au titre de frais de logement (en 530 fr.) ou d'entretien de base, en 1'350 fr. (débiteur non marié avec des enfants à charge; art. I.2 NI-2021). Selon le dernier calcul, l'Office a admis, avec effet rétroactif, un montant de 600 fr. par mois pour l'entretien de la fille aînée du poursuivi, qui avait eu 10 ans en juin 2021, et 400 fr. pour l'entretien du cadet (art. I.4 NI-2021) et y a soustrait les allocations familiales en 300 fr. par enfant, ce qui ne prête pas le flanc à la critique.</w:t>
      </w:r>
    </w:p>
    <w:p>
      <w:r>
        <w:t>- 7/8 -</w:t>
      </w:r>
    </w:p>
    <w:p>
      <w:r>
        <w:t>A/1981/2021-CS</w:t>
      </w:r>
    </w:p>
    <w:p>
      <w:r>
        <w:t>L'Office a fixé les frais de transport du plaignant sur la base du coût de l'abonnement aux transports publics genevois, ce qui est correct. Le plaignant, qui est au chômage, n'a pas justifié de la nécessité de se déplacer avec un véhicule privé pour ses recherches d'emploi, ni n'a fourni la moindre preuve concernant la réalité de frais liés à déplacements dans d'autres cantons pour trouver un travail. L'allégation de frais de repas pris hors domicile dans le contexte de rendez-vous professionnels n'a pas non plus été étayée. En admettant, à bien plaire, un montant de 80 fr. par mois pour des frais liés aux recherches d'emploi, l'Office n'a pas mésusé de son pouvoir d'appréciation.</w:t>
      </w:r>
    </w:p>
    <w:p>
      <w:r>
        <w:t>Faute d'indications concrètes et de justificatifs, l'Office n'a à juste titre pas admis des frais de garde pour les deux enfants du débiteur. Le plaignant, qui a affirmé que ses enfants seraient scolarisés en France et ne vivraient pas avec lui à Genève, n'a fourni aucune explication sur leur lieu de domicile, les personnes qui les prennent en charge ou l'école qu'ils fréquentent et n'a produit aucun justificatif prouvant le paiement de tels frais. Pour ce qui est de la fréquentation de cuisines scolaires, l'Office a admis un montant de 100 fr. par mois pour les deux enfants, que le plaignant critique sans de nouveau fournir le moindre justificatif, de sorte que le grief doit aussi être rejeté.</w:t>
      </w:r>
    </w:p>
    <w:p>
      <w:r>
        <w:t>Pour ce qui est des frais médicaux non couverts par l'assurance-maladie, l'Office a admis un montant de 50 fr. par mois, qui ne saurait être revu à la hausse, faute de preuves susceptibles de démontrer que le débiteur doit faire face à des dépenses médicales nécessaires, supérieures à cette somme.</w:t>
      </w:r>
    </w:p>
    <w:p>
      <w:r>
        <w:t>Le plaignant reproche à l'Office d'avoir écarté à tort les primes d'assurance maladie pour ses enfants et lui-même. Or, à teneur du dossier, les primes d'assurance maladie du débiteur et de sa famille ne sont pas régulièrement payées, B______ SA et D______ SA, deux assureurs-maladie, étant créancières de la série n° 6______. Le plaignant n'a fourni aucun justificatif attestant du paiement effectif de cette charge. Dans ces conditions, la décision de l'Office de ne pas inclure cette dépense dans le minimum vital du plaignant n'est pas critiquable.</w:t>
      </w:r>
    </w:p>
    <w:p>
      <w:r>
        <w:t>Il suit de là que la décision de l'Office fixant en définitive les charges admissibles à 2'580 fr. par mois dans la saisie querellée ne porte pas une atteinte flagrante au minimum vital du plaignant, de sorte qu'elle n'est pas nulle.</w:t>
      </w:r>
    </w:p>
    <w:p>
      <w:r>
        <w:rPr>
          <w:b/>
        </w:rPr>
        <w:t>E. 3</w:t>
      </w:r>
    </w:p>
    <w:p>
      <w:r>
        <w:t>En tant que le plaignant a également formulé des critiques au sujet de l'une des créances participant à la série, son grief relève exclusivement du fond de la créance en poursuite et échappe à la compétence de la Chambre de céans. Il est donc irrecevable.</w:t>
      </w:r>
    </w:p>
    <w:p>
      <w:r>
        <w:rPr>
          <w:b/>
        </w:rPr>
        <w:t>E. 4</w:t>
      </w:r>
    </w:p>
    <w:p>
      <w:r>
        <w:t>La procédure de plainte est gratuite (art. 20a al. 2 ch. 5 LP et art. 61 al. 2 let. a OELP) et il ne peut être alloué aucuns dépens dans cette procédure (art. 62 al. 2 OELP). * * * * *</w:t>
      </w:r>
    </w:p>
    <w:p>
      <w:r>
        <w:t>- 8/8 -</w:t>
      </w:r>
    </w:p>
    <w:p>
      <w:r>
        <w:t>A/1981/2021-CS PAR CES MOTIFS, La Chambre de surveillance : Rejette, dans la mesure de sa recevabilité, la plainte formée le 7 juin 2021 par A______ dans le cadre de l'exécution de la saisie, série n° 6______.</w:t>
      </w:r>
    </w:p>
    <w:p>
      <w:r>
        <w:t>Siégeant : Madame Verena PEDRAZZI RIZZI, présidente; Madame Natalie OPPATJA et Monsieur Anthony HUGUENIN,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