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DCSO/463/2011 vom 8. Dezember 2011</w:t>
      </w:r>
    </w:p>
    <w:p>
      <w:r>
        <w:t>GE Cour de justice, 2011-12-08, FR</w:t>
      </w:r>
    </w:p>
    <w:p>
      <w:r>
        <w:rPr>
          <w:b/>
        </w:rPr>
        <w:t xml:space="preserve">Quelle: </w:t>
      </w:r>
      <w:r>
        <w:t>https://mcp.opencaselaw.ch/entscheid/ge_gerichte_DCSO_463_2011</w:t>
      </w:r>
    </w:p>
    <w:p>
      <w:r>
        <w:t>FR: GE_GERICHTE DCSO/463/2011 du 8 décembre 2011</w:t>
      </w:r>
    </w:p>
    <w:p>
      <w:r>
        <w:t>IT: GE_GERICHTE DCSO/463/2011 del 8 dicembre 2011</w:t>
      </w:r>
    </w:p>
    <w:p>
      <w:pPr>
        <w:pStyle w:val="Heading2"/>
      </w:pPr>
      <w:r>
        <w:t>Regeste</w:t>
      </w:r>
    </w:p>
    <w:p>
      <w:r>
        <w:t>Résumé: Le commandement de payer a été notifié au domicile du poursuivi et son épouse, qui allègue l'avoir reçu -contrairement à ce qui est mentionné sur le procès-verbal du notificateur- est en tout état une personne adulte de son ménage. Conditions de l'art. 33.4 non réalisées; pas d'empêchement légitime.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Le refus de l'Office de tenir compte d'une opposition à un commandement de payer constitue une mesure sujette à plainte et le poursuivi, valablement représenté par son épouse (art. 9 al. 1 LPA applicable par renvoi de l'art. 9 al. 4 LaLP), a qualité pour agir par cette voie.</w:t>
      </w:r>
    </w:p>
    <w:p>
      <w:r>
        <w:t>Formée en temps utile, la plainte sera déclarée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 / PETER SCHOCH, in SchKG I, ad art. 72 n° 11 s.; WALTER A. STOFFEL, Voies d’exécution, § 3 n° 20 ss; JOLANTA KREN-KOSTKIEWICZ, Zustellung von Betreibungsurkunden, in BlSchK 1996, p. 201 ss, 204). Le commandement de payer est rédigé en double. Un exemplaire est destiné au débiteur, l'autre au créancier (art. 70 al. 1 1ère et 2ème phr. LP).</w:t>
      </w:r>
    </w:p>
    <w:p>
      <w:r>
        <w:rPr>
          <w:b/>
        </w:rPr>
        <w:t>E. 2.2</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ATF 120 III 117, JdT 1997 II 54; KARL WÜTHRICH /PETER SCHOCH, in SchKG I, ad art. 72 n° 14; PIERRE-ROBERT GILLIERON, Commentaire, n° 18 ad art. 72).</w:t>
      </w:r>
    </w:p>
    <w:p>
      <w:r>
        <w:t>C’est sur l’Office que pèse le fardeau de la preuve de la notification régulière des actes de poursuite, sans préjudice d’une obligation du poursuivi de collaborer à l’établissement des faits (art. 20a al. 2 ch. 2 LP).</w:t>
      </w:r>
    </w:p>
    <w:p>
      <w:r>
        <w:rPr>
          <w:b/>
        </w:rPr>
        <w:t>E. 2.3</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w:t>
      </w:r>
    </w:p>
    <w:p>
      <w:r>
        <w:t>- 4/6 -</w:t>
      </w:r>
    </w:p>
    <w:p>
      <w:r>
        <w:t>A/3445/2011-CS</w:t>
      </w:r>
    </w:p>
    <w:p>
      <w:r>
        <w:rPr>
          <w:b/>
        </w:rPr>
        <w:t>E. 2.4</w:t>
      </w:r>
    </w:p>
    <w:p>
      <w:r>
        <w:t>En l'espèce, il ressort du procès-verbal de notification que le commandement de payer a été notifié en mains du plaignant, ce que son épouse conteste, affirmant qu'il lui a été remis en mains propres.</w:t>
      </w:r>
    </w:p>
    <w:p>
      <w:r>
        <w:t>Selon les données de l'Office cantonal de la population, le poursuivi était, au jour de la notification du commandement payer, domicilié à la même adresse que son épouse.</w:t>
      </w:r>
    </w:p>
    <w:p>
      <w:r>
        <w:t>La Chambre de céans considère dès lors que la question de savoir si l'acte en question a été remis au plaignant ou à l'épouse de ce dernier peut rester ouverte, dans la mesure où il appert que l'acte a bien été notifié au domicile du poursuivi et que son épouse est une personne adulte de son ménage.</w:t>
      </w:r>
    </w:p>
    <w:p>
      <w:r>
        <w:rPr>
          <w:b/>
        </w:rPr>
        <w:t>E. 2.5</w:t>
      </w:r>
    </w:p>
    <w:p>
      <w:r>
        <w:t>Il s'ensuit que le commandement de payer a été valablement notifié le</w:t>
      </w:r>
    </w:p>
    <w:p>
      <w:r>
        <w:rPr>
          <w:b/>
        </w:rPr>
        <w:t>E. 7</w:t>
      </w:r>
    </w:p>
    <w:p>
      <w:r>
        <w:t>octobre 2011 et que cette notification fixe le dies a quo du délai pour porter plainte contre la notification ou pour former opposition (art. 74 al. 1 LP), même s'il est parvenu à la connaissance du poursuivi ultérieurement. Ledit délai expirait donc le 17 octobre 2011 (art. 31 LP ; art. 142 al. 1 CPC). Seule une notification irrégulière a, en effet, pour conséquence que le délai commence à courir du moment où le poursuivi a eu effectivement connaissance de l'acte (arrêt 5A_6/2008 du 5 février 2008; ATF 128 III 101 consid. 2, JdT 2002 II 23; ATF 120 III 114 consid. 3b, JdT 1997 II 50).</w:t>
      </w:r>
    </w:p>
    <w:p>
      <w:r>
        <w:t>Formée le 20 octobre 2010, l'opposition était donc tardive et c'est à bon droit que l'Office a refusé d'en tenir compte.</w:t>
      </w:r>
    </w:p>
    <w:p>
      <w:r>
        <w:t>La plainte sera en conséquence rejetée. 3. 3.1 La Chambre de céans est compétente pour statuer sur une demande de restitution du délai lorsque, comme en l'espèce, un juge n'est pas saisi de l'affaire (PAULINE ERARD, CR-LP, ad art. 33 n° 26).</w:t>
      </w:r>
    </w:p>
    <w:p>
      <w:r>
        <w:t>3.2.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de dix jours pour former opposition à un commandement de payer (art. 74 al. 1 LP ; JAEGER / WALDER / KULL / KOTTMANN, in SchKG, ad art. 33 n° 18).</w:t>
      </w:r>
    </w:p>
    <w:p>
      <w:r>
        <w:t>- 5/6 -</w:t>
      </w:r>
    </w:p>
    <w:p>
      <w:r>
        <w:t>A/3445/2011-CS</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t>3.3. En l'espèce, le plaignant, qui allègue que, renseignement pris, il aurait dû former opposition au commandement de payer, n'invoque aucun empêchement à agir au sens des considérants rappelés ci-dessus.</w:t>
      </w:r>
    </w:p>
    <w:p>
      <w:r>
        <w:t>Sa requête en restitution du délai pour former opposition doit dès lors être rejetée. 4. La Chambre de céans rappellera ici que le plaignant qui entend contester la créance en poursuite doit agir par le biais de l’action en annulation ou en suspension de la poursuite (art. 85 et 85a LP; cf. également art. 173 al. 1 LP), voire, en dernier ressort, par celui de l’action en répétition de l’indu (art. 86 LP). Ces actions relèvent toutes de la compétence exclusive du juge ordinaire, devant lequel le plaignant sera renvoyé à agir, s’il l’estime opportun.</w:t>
      </w:r>
    </w:p>
    <w:p>
      <w:r>
        <w:t>* * * * *</w:t>
      </w:r>
    </w:p>
    <w:p>
      <w:r>
        <w:t>- 6/6 -</w:t>
      </w:r>
    </w:p>
    <w:p>
      <w:r>
        <w:t>A/3445/2011-CS PAR CES MOTIFS, La Chambre de surveillance : A la forme : Déclare recevable la plainte formée le 26 octobre 2011 par M. T______ contre la décision de l'Office des poursuites du 21 octobre 2011 refusant de tenir compte de l'opposition formée au commandement de payer, poursuite n° 11 xxxx55 D. Au fond : La rejette. Rejette la requête en restitution du délai pour former opposition au commandement de payer, poursuite n° 11 xxxx55 D.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