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DCSO/461/2018 vom 13. September 2018</w:t>
      </w:r>
    </w:p>
    <w:p>
      <w:r>
        <w:t>GE Cour de justice, 2018-09-13, FR</w:t>
      </w:r>
    </w:p>
    <w:p>
      <w:r>
        <w:rPr>
          <w:b/>
        </w:rPr>
        <w:t xml:space="preserve">Quelle: </w:t>
      </w:r>
      <w:r>
        <w:t>https://mcp.opencaselaw.ch/entscheid/ge_gerichte_DCSO_461_2018</w:t>
      </w:r>
    </w:p>
    <w:p>
      <w:r>
        <w:t>FR: GE_GERICHTE DCSO/461/2018 du 13 septembre 2018</w:t>
      </w:r>
    </w:p>
    <w:p>
      <w:r>
        <w:t>IT: GE_GERICHTE DCSO/461/2018 del 13 settembre 2018</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la notification du commandement de payer – sujette à plainte.</w:t>
      </w:r>
    </w:p>
    <w:p>
      <w:r>
        <w:rPr>
          <w:b/>
        </w:rPr>
        <w:t>E. 2</w:t>
      </w:r>
    </w:p>
    <w:p>
      <w:r>
        <w:t>2.1.1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w:t>
      </w:r>
    </w:p>
    <w:p>
      <w:r>
        <w:t>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w:t>
      </w:r>
    </w:p>
    <w:p>
      <w:r>
        <w:t>- 4/6 -</w:t>
      </w:r>
    </w:p>
    <w:p>
      <w:r>
        <w:t>A/2129/2018-CS</w:t>
      </w:r>
    </w:p>
    <w:p>
      <w:r>
        <w:t>2.1.2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w:t>
      </w:r>
    </w:p>
    <w:p>
      <w:r>
        <w:t>2.1.3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w:t>
      </w:r>
    </w:p>
    <w:p>
      <w:r>
        <w:rPr>
          <w:b/>
        </w:rPr>
        <w:t>E. 2.2</w:t>
      </w:r>
    </w:p>
    <w:p>
      <w:r>
        <w:t>En l'espèce, il ressort des pièces produites et des déterminations de B______ (ci-après : l'intimé) qu'un différend est né entre celui-ci et la société dont le plaignant est l'administrateur. Le premier conteste devoir à la seconde, respectivement au troisième, le montant de 8'525 fr. qui lui est réclamé pour des travaux d'électricité effectués en 2012-2013. C'est dans le cadre de ce différend que la société a mis l'intimé en poursuite pour le solde impayé de sa facture finale. La poursuite n° 1______ ne présente dès lors aucun élément permettant de conclure que la société aurait abusivement recouru à la procédure d'exécution forcée contre l'intimé, une telle démarche ayant notamment pour vocation d'interrompre la prescription. Ces éléments font cependant défaut s'agissant de la poursuite intentée par l'intimé à l'encontre du plaignant. Au contraire, le montant (8'525 fr.) et le titre de la créance (solde de facture) invoqués – qui correspondent à ceux de la poursuite n° 1______ – ainsi que la proximité temporelle entre la poursuite requise par la société et celle intentée par l'intimé démontrent que la seconde intervient uniquement en réaction à la première. C'est d'ailleurs ce que l'intimé admet lui- même, puisqu'il ne prétend pas détenir une créance contre le plaignant (qu'il confond avec la société ayant devisé et facturé les travaux), mais expose qu'il a mis ce dernier en poursuite afin de le contraindre à porter le litige devant les juridictions compétentes. Ce faisant, l'intimé n'utilise pas la voie de droit adéquate (cf. consid. 2.1.2 supra) et agit dans un but totalement étranger au droit de l'exécution forcée : en effet, il ne cherche pas à obtenir le paiement d'une somme d'argent ou à interrompre la prescription, mais uniquement à faire pression sur le plaignant, respectivement à lui faire subir la même atteinte que celle dont il s'estime victime. Or, la procédure d'exécution forcée n'a pas pour objectif de ternir la réputation d'une personne ou de la tourmenter délibérément; elle ne peut servir à cette fin. Dans cette mesure, la poursuite litigieuse présente un caractère purement chicanier.</w:t>
      </w:r>
    </w:p>
    <w:p>
      <w:r>
        <w:t>- 5/6 -</w:t>
      </w:r>
    </w:p>
    <w:p>
      <w:r>
        <w:t>A/2129/2018-CS En conséquence, la plainte sera admise et la nullité de la poursuite n° 3______ constatée par la Chambre de céans.</w:t>
      </w:r>
    </w:p>
    <w:p>
      <w:r>
        <w:rPr>
          <w:b/>
        </w:rPr>
        <w:t>E. 3</w:t>
      </w:r>
    </w:p>
    <w:p>
      <w:r>
        <w:t>La procédure de plainte est gratuite et il ne peut être alloué de dépens (art. 61 al. 2 let. a et art. 62 al. 2 OELP). * * * * *</w:t>
      </w:r>
    </w:p>
    <w:p>
      <w:r>
        <w:t>- 6/6 -</w:t>
      </w:r>
    </w:p>
    <w:p>
      <w:r>
        <w:t>A/2129/2018-CS PAR CES MOTIFS, La Chambre de surveillance : A la forme : Déclare recevable la plainte formée le 21 juin 2018 par A______ contre le commandement de payer, poursuite n° 3______. Au fond : L'admet. Constate la nullité de la poursuite n° 3______.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