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DCSO/459/2020 vom 3. Dezember 2020</w:t>
      </w:r>
    </w:p>
    <w:p>
      <w:r>
        <w:t>GE Cour de justice, 2020-12-03, FR</w:t>
      </w:r>
    </w:p>
    <w:p>
      <w:r>
        <w:rPr>
          <w:b/>
        </w:rPr>
        <w:t xml:space="preserve">Quelle: </w:t>
      </w:r>
      <w:r>
        <w:t>https://mcp.opencaselaw.ch/entscheid/ge_gerichte_DCSO_459_2020</w:t>
      </w:r>
    </w:p>
    <w:p>
      <w:r>
        <w:t>FR: GE_GERICHTE DCSO/459/2020 du 3 décembre 2020</w:t>
      </w:r>
    </w:p>
    <w:p>
      <w:r>
        <w:t>IT: GE_GERICHTE DCSO/459/2020 del 3 dicembre 2020</w:t>
      </w:r>
    </w:p>
    <w:p>
      <w:pPr>
        <w:pStyle w:val="Heading2"/>
      </w:pPr>
      <w:r>
        <w:t>Erwägungen</w:t>
      </w:r>
    </w:p>
    <w:p>
      <w:r>
        <w:rPr>
          <w:b/>
        </w:rPr>
        <w:t>E. 1.1</w:t>
      </w:r>
    </w:p>
    <w:p>
      <w:r>
        <w:t>L'art. 70 LPA, applicable à la procédure devant la Chambre de surveillance en vertu de l'art. 9 al. 4 LALP, permet, d'office ou sur requête, de joindre deux procédures se rapportant à une situation identique ou à une cause juridique commune.</w:t>
      </w:r>
    </w:p>
    <w:p>
      <w:r>
        <w:rPr>
          <w:b/>
        </w:rPr>
        <w:t>E. 1.2</w:t>
      </w:r>
    </w:p>
    <w:p>
      <w:r>
        <w:t>Les plaintes déposées les 20 et 25 mai par A______ SARL et le 19 juin 2020 par B______ portent en l'espèce sur la même question, à savoir si l'Office devait ou non donner suite à la réquisition de continuer la poursuite déposée le 7 janvier 2020 par la poursuivante, en notifiant une commination de faillite, et, par voie de conséquence, sur la validité de la notification du commandement de payer le 4 décembre 2019 et de l'opposition formée le 15 mai 2020 par la poursuivie. Les causes A/1438/2020 et A/4______/2020 seront donc jointes sous A/1438/2020.</w:t>
      </w:r>
    </w:p>
    <w:p>
      <w:r>
        <w:rPr>
          <w:b/>
        </w:rPr>
        <w:t>E. 2</w:t>
      </w:r>
    </w:p>
    <w:p>
      <w:r>
        <w:t>Les plaintes ont été formées auprès de l'autorité compétente (art. 6 al.1 et 3 LaLP, art. 17 al. 1 LP), par des parties lésées dans leurs intérêts (ATF 138 III 219 consid. 2.3; 129 III 595 consid. 3; 120 III 42 consid. 3), dans le délai utile de dix jours (art. 17 al. 2 LP) et selon la forme prescrite par la loi (art. 9 al. 1 et 2 LaLP, art. 65 al. 1 et 2 LPA, applicables par renvoi de l'art. 9 al. 4 LaLP), à l'encontre de mesures de l'office sujettes à plainte.</w:t>
      </w:r>
    </w:p>
    <w:p>
      <w:r>
        <w:t>Elles sont donc recevables.</w:t>
      </w:r>
    </w:p>
    <w:p>
      <w:r>
        <w:rPr>
          <w:b/>
        </w:rPr>
        <w:t>E. 3.1</w:t>
      </w:r>
    </w:p>
    <w:p>
      <w:r>
        <w:t>Selon l'art. 17 al. 4 LP, en cas de plainte, l'office peut, jusqu'à l'envoi de sa réponse, procéder à un nouvel examen de la décision attaquée; s'il prend une nouvelle mesure, il la notifie sans délai aux parties et en donne connaissance à l'autorité de surveillance. Par réponse au sens de cette disposition, il faut comprendre la détermination de l'office sur le sort devant selon lui être réservé à la plainte, tant sous l'angle de sa recevabilité que de son bien-fondé. Le but de la norme est en effet de permettre à l'office de procéder à un nouvel examen de sa décision, au regard notamment des griefs invoqués par la partie plaignante, et de la reconsidérer si ce nouvel examen le conduit à la conclusion que sa première décision n'était pas conforme au droit ou était inopportune.</w:t>
      </w:r>
    </w:p>
    <w:p>
      <w:r>
        <w:t>- 5/10 -</w:t>
      </w:r>
    </w:p>
    <w:p>
      <w:r>
        <w:t>A/1438/2020-CS</w:t>
      </w:r>
    </w:p>
    <w:p>
      <w:r>
        <w:t>Si la décision de reconsidération rendue par l'office conformément à l'art. 17 al. 4 LP satisfait aux conclusions formées par la partie plaignante, la plainte devient sans objet (ATF 126 III 85; ERARD, CR LP, n° 66 ad art. 17 LP) et la cause doit être rayée du rôle.</w:t>
      </w:r>
    </w:p>
    <w:p>
      <w:r>
        <w:rPr>
          <w:b/>
        </w:rPr>
        <w:t>E. 3.2</w:t>
      </w:r>
    </w:p>
    <w:p>
      <w:r>
        <w:t>En l'occurrence, l'Office, par sa décision datée du 11 juin 2020, est revenu sur ses décisions et mesures antérieures (décision du 19 mai 2020 rejetant l'opposition au commandement de payer pour cause de tardiveté, admission de la réquisition de continuer la poursuite et notification de la commination de faillite). Cette nouvelle décision a été rendue avant que l'Office n'ait déposé sa réponse aux plaintes déposées les 20 et 25 mai par la poursuivie et satisfait aux conclusions formées par cette dernière, de sorte qu'elle rend sans objet lesdites plaintes interjetées par la société débitrice.</w:t>
      </w:r>
    </w:p>
    <w:p>
      <w:r>
        <w:t>Il reste à examiner la plainte de la poursuivante contre la décision de l'Office du 11 juin 2020.</w:t>
      </w:r>
    </w:p>
    <w:p>
      <w:r>
        <w:rPr>
          <w:b/>
        </w:rPr>
        <w:t>E. 4</w:t>
      </w:r>
    </w:p>
    <w:p>
      <w:r>
        <w:t>Quand bien même au moment du prononcé de la décision entreprise, le 11 juin 2020, la société débitrice n'avait pas encore été radiée du registre du commerce, il se pose la question de savoir si, comme le soutient l'Office, la plainte ne serait pas devenue sans objet, du fait de l'extinction de la poursuite.</w:t>
      </w:r>
    </w:p>
    <w:p>
      <w:r>
        <w:t>4.1.1 La poursuite se continue par voie de faillite lorsque le débiteur est inscrit au registre du commerce notamment comme société à responsabilité limitée (art. 39 ch. 9 LP). Il est déterminant que la société soit inscrite au registre du commerce au moment de la continuation de la poursuite (ACOCELLA, BK SchKG, n° 11 ad art. 39 LP).</w:t>
      </w:r>
    </w:p>
    <w:p>
      <w:r>
        <w:t>Les personnes qui étaient inscrites au registre du commerce et qui ont été rayées demeurent sujettes à la poursuite par voie de faillite durant les six mois qui suivent la publication de leur radiation dans la Feuille officielle suisse du commerce (art. 40 LP). Cette disposition ne s'applique pas à la société anonyme, à la société à responsabilité limitée, à la société coopérative et à la société en commandite par actions qui perdent la personnalité ensuite de leur radiation du registre du commerce (ACOCELLA, BK SchKG, n° 4 ad art. 40 LP; Rigot, CR LP, n° 3 ad art. 40 LP).</w:t>
      </w:r>
    </w:p>
    <w:p>
      <w:r>
        <w:t>Il n'est plus possible de requérir la poursuite ou de continuer la poursuite à l'encontre d'une personne morale qui a perdu la personnalité juridique du fait de sa radiation du registre du commerce (ACOCELLA, BK SchKG, n° 4 ad art. 40 LP).</w:t>
      </w:r>
    </w:p>
    <w:p>
      <w:r>
        <w:t>Une personne morale (ou quasi morale) qui a perdu sa personnalité juridique ou sa capacité d'être sujet d'une poursuite par suite de radiation peut être réinscrite au registre du commerce (ATF 121 III 324/326), avec comme conséquence qu'elle est à nouveau sujette à la poursuite par voie de faillite (ACOCELLA, BK SchKG n° 4 ad art. 40).</w:t>
      </w:r>
    </w:p>
    <w:p>
      <w:r>
        <w:t>- 6/10 -</w:t>
      </w:r>
    </w:p>
    <w:p>
      <w:r>
        <w:t>A/1438/2020-CS</w:t>
      </w:r>
    </w:p>
    <w:p>
      <w:r>
        <w:t>4.1.2 A teneur de l'art. 821 al. 1 ch. 4 CO, la société à responsabilité limitée peut être dissoute pour divers motifs prévus dans la loi, parmi lesquels la dissolution sans liquidation prévue par les articles 938a al. 1 CO et 155 ORC (STAÜBLI, BK OR II, 2016, n° 12a ad art. 821 CO).</w:t>
      </w:r>
    </w:p>
    <w:p>
      <w:r>
        <w:t>L'art. 938a CO habilite l’office du registre du commerce à radier d’office une société qui n’exerce plus d’activités et n’a plus d’actifs réalisables. La radiation ne peut intervenir que si une triple "sommation publique" est demeurée sans résultat (art. 938a al. 1 CO). Lorsqu’un associé ou un actionnaire ou encore un créancier fait valoir un intérêt au maintien de l’inscription, il appartient au juge de trancher (art. 938a al. 2 CO).</w:t>
      </w:r>
    </w:p>
    <w:p>
      <w:r>
        <w:t>L’office du registre du commerce somme d'abord l’organe supérieur de direction ou d’administration de la société de requérir la radiation ou de lui communiquer les motifs d’un maintien de l’inscription dans les 30 jours. Il mentionne les dispositions applicables et les conséquences juridiques d’un non-respect de cette obligation (art. 155 al. 1 ORC).</w:t>
      </w:r>
    </w:p>
    <w:p>
      <w:r>
        <w:t>Lorsqu’aucune réquisition n’est déposée ni aucun motif de maintien de l’inscription communiqué dans le délai imparti, il procède à une triple sommation publique dans la Feuille officielle suisse du commerce, dans laquelle les associés et les créanciers sont sommés de faire valoir par écrit dans les 30 jours un intérêt motivé au maintien de l’inscription (art. 155 al. 2 ORC).</w:t>
      </w:r>
    </w:p>
    <w:p>
      <w:r>
        <w:t>Lorsque personne n’a fait valoir d’intérêt au maintien de l’inscription dans les 30 jours à partir de la dernière publication de la sommation, l’office du registre du commerce radie l’entité juridique du registre du commerce (art. 155 al. 3 ORC).</w:t>
      </w:r>
    </w:p>
    <w:p>
      <w:r>
        <w:rPr>
          <w:b/>
        </w:rPr>
        <w:t>E. 4.2</w:t>
      </w:r>
    </w:p>
    <w:p>
      <w:r>
        <w:t>En l'espèce, la société débitrice a été radiée du registre du commerce, après sommations et publications, en application des art. 938a CO et 155 ORC, et aucune procédure en réinscription n'est en cours à teneur du dossier. En particulier, l'associée gérante de la société a fait savoir qu'elle n'entendait pas requérir la réinscription de la société.</w:t>
      </w:r>
    </w:p>
    <w:p>
      <w:r>
        <w:t>Surtout, la créancière poursuivante n'a pas non plus manifesté l'intention de requérir une telle réinscription ni rendu vraisemblable que d'autres créanciers l'auraient fait.</w:t>
      </w:r>
    </w:p>
    <w:p>
      <w:r>
        <w:t>Il s'ensuit que la poursuivie n'a plus la personnalité juridique, ce qui est de nature à entraîner l'extinction de la poursuite.</w:t>
      </w:r>
    </w:p>
    <w:p>
      <w:r>
        <w:rPr>
          <w:b/>
        </w:rPr>
        <w:t>E. 5</w:t>
      </w:r>
    </w:p>
    <w:p>
      <w:r>
        <w:t>Par surabondance de moyens, la Chambre de céans relève qu'en tout état de cause la plainte de la poursuivante est infondée, pour les motifs qui suivent.</w:t>
      </w:r>
    </w:p>
    <w:p>
      <w:r>
        <w:t>5.1.1 Selon l'art. 65 al. 1 ch. 2 LP, lorsque la poursuite est dirigée contre une société à responsabilité limitée, les actes de poursuite sont notifiés à son représentant, à savoir un membre de l'administration ou du comité, à un directeur ou à un fondé de procuration, soit toutes les personnes dont les pouvoirs sont inscrits au Registre du commerce (JEANNERET/LEMBO, CR LP, n° 14 ad art. 65</w:t>
      </w:r>
    </w:p>
    <w:p>
      <w:r>
        <w:t>- 7/10 -</w:t>
      </w:r>
    </w:p>
    <w:p>
      <w:r>
        <w:t>A/1438/2020-CS LP). Il est également possible de notifier le commandement de payer à un employé de la société poursuivie (art. 65 al. 2 LP), si le représentant autorisé ne peut être rencontré.</w:t>
      </w:r>
    </w:p>
    <w:p>
      <w:r>
        <w:t>Compte tenu des lourdes conséquences attachées à la notification d'un acte de poursuite, à commencer par le commandement de payer lui-même, le législateur a marqué sa préoccupation de s'assurer que ces actes parviennent entre les mains des personnes habilitées à représenter la personne morale ou la société et légitimées, pour le commandement de payer par exemple, à examiner l'opportunité d'y former opposition en toute connaissance de cause (JEANNERET/LEMBO, op. cit., n. 9 ad art. 65 LP).</w:t>
      </w:r>
    </w:p>
    <w:p>
      <w:r>
        <w:t>Si le créancier qui requiert une poursuite ne désigne pas expressément le nom d'un représentant autorisé à recevoir les actes de poursuites dans sa réquisition adressée à l'office, celui-ci devra rechercher par lui-même les noms des personnes habilitées à représenter la personne morale lorsque celle-ci est inscrite au Registre du commerce. En l'absence d'informations pertinentes au Registre du commerce, l'office ne pourra pas refuser sans autre de donner suite à la réquisition de poursuite; il devra, au préalable, interpeller le créancier pour qu'il complète sa réquisition sur ce point (JEANNERET/LEMBO, op. cit., n. 10 ad art. 65 LP).</w:t>
      </w:r>
    </w:p>
    <w:p>
      <w:r>
        <w:t>5.1.2 L'énumération des représentants habilités à recevoir une poursuite trouve sa limite dans le conflit d'intérêts qui peut survenir, notamment lorsque le représentant est le créancier requérant une poursuite à l'encontre de la personne morale ou de la société (JEANNERET/LEMBO, op. cit., n. 12 ad art. 65 LP et les références).</w:t>
      </w:r>
    </w:p>
    <w:p>
      <w:r>
        <w:t>Il est ainsi inadmissible que le poursuivant, employé d'une société anonyme, reçoit de l'agent notificateur le commandement de payer destiné à la société qui l'emploie, dont il a requis la notification (GILLIERON, Commentaire de la loi sur la poursuite pour dettes et la faillite, 2000, n. 17 ad art. 65 LP et les références citées). Lorsqu'un acte de poursuite est notifié à un représentant qui se trouve en conflit d'intérêts avec la société débitrice, la notification est irrégulière. Elle doit être annulée et répétée si le représentant n'a pas fait opposition et n'a pas transmis l'acte de poursuite à un autre représentant de la société poursuivie (ATF 45 III 27, JdT 1919 II 60; GILLIERON, op. cit., n. 17 ad art. 65; DCSO/235/2014 du 11 décembre 2014 consid. 2.2).</w:t>
      </w:r>
    </w:p>
    <w:p>
      <w:r>
        <w:rPr>
          <w:b/>
        </w:rPr>
        <w:t>E. 5.2</w:t>
      </w:r>
    </w:p>
    <w:p>
      <w:r>
        <w:t>En l'espèce, il est constant que le commandement de payer n'a pas été notifié à la représentante autorisée de la poursuivie, soit à son associée gérante inscrite au registre du commerce de Genève.</w:t>
      </w:r>
    </w:p>
    <w:p>
      <w:r>
        <w:t>Il est également avéré, la poursuivante ne le conteste pas, que la personne qui a réceptionné le commandement de payer n'est pas une employée de la poursuivie, mais bien de la poursuivante. Il s'ensuit que la notification intervenue le 4 décembre 2019 est viciée. La poursuivante ne saurait être suivie lorsqu'elle affirme que le commandement de payer serait entré le même jour dans la "sphère</w:t>
      </w:r>
    </w:p>
    <w:p>
      <w:r>
        <w:t>- 8/10 -</w:t>
      </w:r>
    </w:p>
    <w:p>
      <w:r>
        <w:t>A/1438/2020-CS d'influence" de la poursuivie. L'employée de la poursuivante n'a en effet pas remis le commandement de payer à la représentante de la société débitrice. Selon ses souvenirs, elle l'aurait tout au plus déposé dans la boîte à lettres de l'Institut, voire l'aurait remis à son employeuse – soit à la poursuivante – ce qui n'est pas admissible.</w:t>
      </w:r>
    </w:p>
    <w:p>
      <w:r>
        <w:t>Il convient ainsi d'admettre que la société poursuivie n'a pas eu connaissance de cette poursuite avant de recevoir la commination de faillite, le 13 mai 2020, de sorte que l'opposition formée le 15 mai 2020 l'a été en temps utile.</w:t>
      </w:r>
    </w:p>
    <w:p>
      <w:r>
        <w:rPr>
          <w:b/>
        </w:rPr>
        <w:t>E. 5.3</w:t>
      </w:r>
    </w:p>
    <w:p>
      <w:r>
        <w:t>Eu égard à ce qui précède, c'est à juste titre que l'Office a considéré que, le commandement de payer n'étant pas en force au moment du dépôt de la réquisition de continuer la poursuite, il y avait lieu d'annuler la commination de faillite.</w:t>
      </w:r>
    </w:p>
    <w:p>
      <w:r>
        <w:t>La poursuivie ayant été radiée du registre du commerce dans l'intervalle, la continuation de la poursuite par voie de faillite n'entre plus en considération, étant précisé que la plaignante, en sa qualité de créancière, aurait pu requérir la réinscription de la société (art. 155 ORC), ce qu'elle n'a pas fait.</w:t>
      </w:r>
    </w:p>
    <w:p>
      <w:r>
        <w:t>Quand bien même elle aurait conservé un objet, la plainte doit donc être rejetée.</w:t>
      </w:r>
    </w:p>
    <w:p>
      <w:r>
        <w:rPr>
          <w:b/>
        </w:rPr>
        <w:t>E. 6</w:t>
      </w:r>
    </w:p>
    <w:p>
      <w:r>
        <w:t>La procédure de plainte est gratuite (art. 20a al. 2 ch. 5 LP et art. 61 al. 2 let. a OELP) et il ne peut être alloué aucuns dépens dans cette procédure (art. 62 al. 2 OELP). * * * * *</w:t>
      </w:r>
    </w:p>
    <w:p>
      <w:r>
        <w:t>- 9/10 -</w:t>
      </w:r>
    </w:p>
    <w:p>
      <w:r>
        <w:t>A/1438/2020-CS PAR CES MOTIFS, La Chambre de surveillance : A la forme : Déclare recevables les plaintes formées les 20 et 25 mai 2020 par A______ SARL contre la commination de faillite et la décision de l'Office cantonal des poursuites du 19 mai 2020 dans la poursuite n° 1______ (cause A/1438/20) et la plainte formée le 19 juin 2020 par B______ contre la décision rendue le 11 juin 2020 par l'Office cantonal des poursuites dans la même poursuite (cause A/4______/2020). Ordonne la jonction des causes A/1438/2020 et A/4______/2020 sous le numéro de cause A/1438/2020. Au fond : Déclare sans objet les plaintes formées les 20 et 25 mai 2020 par A______ SARL. Rejette la plainte formée le 19 juin 2020 par B______ dans la mesure où elle a conservé un objet. Siégeant : Madame Verena PEDRAZZINI RIZZI, présidente; Madame Natalie OPPATJA et Monsieur Anthony HUGUENIN, juges assesseur(e)s; Madame Christel HENZELIN, greffière.</w:t>
      </w:r>
    </w:p>
    <w:p>
      <w:r>
        <w:t>La présidente :</w:t>
      </w:r>
    </w:p>
    <w:p>
      <w:r>
        <w:t>Verena PEDRAZZINI RIZZI</w:t>
      </w:r>
    </w:p>
    <w:p>
      <w:r>
        <w:t>La greffière :</w:t>
      </w:r>
    </w:p>
    <w:p>
      <w:r>
        <w:t>Christel HENZELIN</w:t>
      </w:r>
    </w:p>
    <w:p>
      <w:r>
        <w:t>- 10/10 -</w:t>
      </w:r>
    </w:p>
    <w:p>
      <w:r>
        <w:t>A/1438/2020-CS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